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b/>
          <w:sz w:val="36"/>
          <w:szCs w:val="36"/>
        </w:rPr>
      </w:pPr>
    </w:p>
    <w:p>
      <w:pPr>
        <w:jc w:val="center"/>
        <w:rPr>
          <w:rFonts w:ascii="Arial" w:hAnsi="Arial" w:cs="Arial"/>
          <w:b/>
          <w:sz w:val="36"/>
          <w:szCs w:val="36"/>
        </w:rPr>
      </w:pPr>
      <w:bookmarkStart w:id="7" w:name="_GoBack"/>
    </w:p>
    <w:bookmarkEnd w:id="7"/>
    <w:p>
      <w:pPr>
        <w:jc w:val="center"/>
        <w:rPr>
          <w:rFonts w:ascii="Arial" w:hAnsi="Arial" w:cs="Arial"/>
          <w:b/>
          <w:sz w:val="52"/>
          <w:szCs w:val="52"/>
        </w:rPr>
      </w:pPr>
      <w:r>
        <w:rPr>
          <w:rFonts w:ascii="Arial" w:hAnsi="Arial" w:cs="Arial"/>
          <w:b/>
          <w:sz w:val="52"/>
          <w:szCs w:val="52"/>
        </w:rPr>
        <w:t>一体化水冷式冷水机组用户需求说明</w:t>
      </w:r>
    </w:p>
    <w:p>
      <w:pPr>
        <w:pStyle w:val="2"/>
        <w:spacing w:line="360" w:lineRule="auto"/>
        <w:jc w:val="center"/>
        <w:rPr>
          <w:rFonts w:hint="default" w:ascii="Times New Roman" w:hAnsi="Times New Roman" w:eastAsia="宋体" w:cs="Times New Roman"/>
          <w:b/>
          <w:color w:val="FF0000"/>
          <w:sz w:val="36"/>
          <w:szCs w:val="36"/>
          <w:highlight w:val="yellow"/>
          <w:lang w:val="en-US" w:eastAsia="zh-CN"/>
        </w:rPr>
      </w:pPr>
      <w:r>
        <w:rPr>
          <w:rFonts w:ascii="Times New Roman" w:hAnsi="宋体" w:cs="Times New Roman"/>
          <w:b/>
          <w:sz w:val="36"/>
          <w:szCs w:val="36"/>
        </w:rPr>
        <w:t>文件编号：</w:t>
      </w:r>
      <w:r>
        <w:rPr>
          <w:rFonts w:ascii="Times New Roman" w:hAnsi="Times New Roman" w:cs="Times New Roman"/>
          <w:b/>
          <w:sz w:val="36"/>
          <w:szCs w:val="36"/>
        </w:rPr>
        <w:t>URS-2024-</w:t>
      </w:r>
      <w:r>
        <w:rPr>
          <w:rFonts w:hint="eastAsia" w:ascii="Times New Roman" w:hAnsi="Times New Roman" w:cs="Times New Roman"/>
          <w:b/>
          <w:sz w:val="36"/>
          <w:szCs w:val="36"/>
          <w:lang w:val="en-US" w:eastAsia="zh-CN"/>
        </w:rPr>
        <w:t>0111-7</w:t>
      </w:r>
    </w:p>
    <w:p>
      <w:pPr>
        <w:spacing w:line="460" w:lineRule="exact"/>
        <w:jc w:val="center"/>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jc w:val="center"/>
        <w:rPr>
          <w:rFonts w:ascii="Arial" w:hAnsi="Arial" w:cs="Arial"/>
          <w:b/>
          <w:sz w:val="44"/>
          <w:szCs w:val="44"/>
        </w:rPr>
      </w:pPr>
      <w:r>
        <w:rPr>
          <w:rFonts w:hint="eastAsia" w:ascii="Arial" w:hAnsi="Arial" w:cs="Arial"/>
          <w:b/>
          <w:sz w:val="44"/>
          <w:szCs w:val="44"/>
        </w:rPr>
        <w:t>湖北天圣药业有限公司</w:t>
      </w:r>
    </w:p>
    <w:p>
      <w:pPr>
        <w:jc w:val="center"/>
        <w:rPr>
          <w:b/>
          <w:sz w:val="32"/>
          <w:szCs w:val="32"/>
        </w:rPr>
      </w:pPr>
      <w:r>
        <w:rPr>
          <w:rFonts w:hint="eastAsia"/>
          <w:b/>
          <w:sz w:val="32"/>
          <w:szCs w:val="32"/>
        </w:rPr>
        <w:t>2024年01月</w:t>
      </w:r>
    </w:p>
    <w:p>
      <w:pPr>
        <w:spacing w:line="240" w:lineRule="auto"/>
        <w:rPr>
          <w:rFonts w:ascii="Times New Roman" w:hAnsi="Times New Roman"/>
          <w:kern w:val="2"/>
          <w:lang w:val="zh-CN"/>
        </w:rPr>
      </w:pPr>
      <w:r>
        <w:rPr>
          <w:lang w:val="zh-CN"/>
        </w:rPr>
        <w:br w:type="page"/>
      </w:r>
    </w:p>
    <w:p>
      <w:pPr>
        <w:pStyle w:val="16"/>
        <w:adjustRightInd w:val="0"/>
        <w:snapToGrid w:val="0"/>
        <w:spacing w:line="360" w:lineRule="auto"/>
        <w:ind w:firstLine="480"/>
        <w:rPr>
          <w:sz w:val="24"/>
          <w:lang w:val="zh-CN"/>
        </w:rPr>
      </w:pPr>
      <w:bookmarkStart w:id="0" w:name="_Toc39501655"/>
      <w:bookmarkStart w:id="1" w:name="_Toc81642966"/>
      <w:bookmarkStart w:id="2" w:name="_Toc74738533"/>
      <w:r>
        <w:rPr>
          <w:sz w:val="24"/>
          <w:lang w:val="zh-CN"/>
        </w:rPr>
        <w:t>1.综述</w:t>
      </w:r>
      <w:bookmarkEnd w:id="0"/>
    </w:p>
    <w:p>
      <w:pPr>
        <w:pStyle w:val="16"/>
        <w:adjustRightInd w:val="0"/>
        <w:snapToGrid w:val="0"/>
        <w:spacing w:line="360" w:lineRule="auto"/>
        <w:ind w:firstLine="480"/>
        <w:rPr>
          <w:sz w:val="24"/>
          <w:lang w:val="zh-CN"/>
        </w:rPr>
      </w:pPr>
      <w:bookmarkStart w:id="3" w:name="_Toc39501656"/>
      <w:r>
        <w:rPr>
          <w:sz w:val="24"/>
          <w:lang w:val="zh-CN"/>
        </w:rPr>
        <w:t>1.1用途</w:t>
      </w:r>
      <w:bookmarkEnd w:id="3"/>
    </w:p>
    <w:p>
      <w:pPr>
        <w:pStyle w:val="16"/>
        <w:adjustRightInd w:val="0"/>
        <w:snapToGrid w:val="0"/>
        <w:spacing w:line="360" w:lineRule="auto"/>
        <w:ind w:firstLine="480"/>
        <w:rPr>
          <w:sz w:val="24"/>
          <w:lang w:val="zh-CN"/>
        </w:rPr>
      </w:pPr>
      <w:r>
        <w:rPr>
          <w:sz w:val="24"/>
          <w:lang w:val="zh-CN"/>
        </w:rPr>
        <w:t>本用户需求（以下简称URS）为湖北天圣药业有限公司</w:t>
      </w:r>
      <w:r>
        <w:rPr>
          <w:rFonts w:ascii="宋体" w:hAnsi="宋体" w:cs="宋体"/>
          <w:sz w:val="24"/>
          <w:lang w:val="es-ES"/>
        </w:rPr>
        <w:t>（</w:t>
      </w:r>
      <w:r>
        <w:rPr>
          <w:rFonts w:hint="eastAsia" w:ascii="宋体" w:hAnsi="宋体" w:cs="宋体"/>
          <w:sz w:val="24"/>
          <w:lang w:val="es-ES"/>
        </w:rPr>
        <w:t>以下简称</w:t>
      </w:r>
      <w:r>
        <w:rPr>
          <w:rFonts w:ascii="宋体" w:hAnsi="宋体" w:cs="宋体"/>
          <w:sz w:val="24"/>
          <w:lang w:val="es-ES"/>
        </w:rPr>
        <w:t>“</w:t>
      </w:r>
      <w:r>
        <w:rPr>
          <w:rFonts w:hint="eastAsia" w:ascii="宋体" w:hAnsi="宋体" w:cs="宋体"/>
          <w:sz w:val="24"/>
          <w:lang w:val="es-ES"/>
        </w:rPr>
        <w:t>湖北天圣</w:t>
      </w:r>
      <w:r>
        <w:rPr>
          <w:rFonts w:ascii="宋体" w:hAnsi="宋体" w:cs="宋体"/>
          <w:sz w:val="24"/>
          <w:lang w:val="es-ES"/>
        </w:rPr>
        <w:t>”）</w:t>
      </w:r>
      <w:r>
        <w:rPr>
          <w:rFonts w:hint="eastAsia" w:ascii="宋体" w:hAnsi="宋体" w:cs="宋体"/>
          <w:sz w:val="24"/>
          <w:lang w:val="es-ES"/>
        </w:rPr>
        <w:t>对“湖北天圣易短缺药品呋塞米注射液智能化工厂建设”项目</w:t>
      </w:r>
      <w:r>
        <w:rPr>
          <w:rFonts w:hint="eastAsia" w:ascii="宋体" w:hAnsi="宋体" w:cs="宋体"/>
          <w:sz w:val="24"/>
          <w:lang w:val="es-ES" w:eastAsia="zh-CN"/>
        </w:rPr>
        <w:t>中</w:t>
      </w:r>
      <w:r>
        <w:rPr>
          <w:sz w:val="24"/>
          <w:lang w:val="zh-CN"/>
        </w:rPr>
        <w:t>一体化水冷式冷水机组的基本要求，该机组为工艺设备提供冷源全年运行，满足制剂车间配料和洗瓶等工艺日常生产的需求。设备机组能够并入BMS系统。</w:t>
      </w:r>
    </w:p>
    <w:p>
      <w:pPr>
        <w:pStyle w:val="16"/>
        <w:adjustRightInd w:val="0"/>
        <w:snapToGrid w:val="0"/>
        <w:spacing w:line="360" w:lineRule="auto"/>
        <w:ind w:firstLine="480"/>
        <w:rPr>
          <w:sz w:val="24"/>
          <w:lang w:val="zh-CN"/>
        </w:rPr>
      </w:pPr>
      <w:bookmarkStart w:id="4" w:name="_Toc39501657"/>
      <w:r>
        <w:rPr>
          <w:sz w:val="24"/>
          <w:lang w:val="zh-CN"/>
        </w:rPr>
        <w:t>1.2目的</w:t>
      </w:r>
      <w:bookmarkEnd w:id="4"/>
    </w:p>
    <w:p>
      <w:pPr>
        <w:pStyle w:val="16"/>
        <w:adjustRightInd w:val="0"/>
        <w:snapToGrid w:val="0"/>
        <w:spacing w:line="360" w:lineRule="auto"/>
        <w:ind w:firstLine="480"/>
        <w:rPr>
          <w:sz w:val="24"/>
          <w:lang w:val="zh-CN"/>
        </w:rPr>
      </w:pPr>
      <w:r>
        <w:rPr>
          <w:sz w:val="24"/>
          <w:lang w:val="zh-CN"/>
        </w:rPr>
        <w:t>本URS描述了一体化水冷式冷水机组的各种基本需求，对设备的工作过程及功能的期望，设备生产商应在规定的时间内完成并达到本用户需求的设计目标和可接受的质量标准，从而使设备供应商所提供的设备满足我司的需求，并符合现行版中国GMP 标准。</w:t>
      </w:r>
    </w:p>
    <w:p>
      <w:pPr>
        <w:pStyle w:val="16"/>
        <w:adjustRightInd w:val="0"/>
        <w:snapToGrid w:val="0"/>
        <w:spacing w:line="360" w:lineRule="auto"/>
        <w:ind w:firstLine="480"/>
        <w:rPr>
          <w:sz w:val="24"/>
          <w:lang w:val="zh-CN"/>
        </w:rPr>
      </w:pPr>
      <w:bookmarkStart w:id="5" w:name="_Toc39501658"/>
      <w:r>
        <w:rPr>
          <w:sz w:val="24"/>
          <w:lang w:val="zh-CN"/>
        </w:rPr>
        <w:t>1.3范围</w:t>
      </w:r>
      <w:bookmarkEnd w:id="5"/>
    </w:p>
    <w:p>
      <w:pPr>
        <w:pStyle w:val="16"/>
        <w:adjustRightInd w:val="0"/>
        <w:snapToGrid w:val="0"/>
        <w:spacing w:line="360" w:lineRule="auto"/>
        <w:ind w:firstLine="480"/>
        <w:rPr>
          <w:sz w:val="24"/>
          <w:lang w:val="zh-CN"/>
        </w:rPr>
      </w:pPr>
      <w:r>
        <w:rPr>
          <w:sz w:val="24"/>
          <w:lang w:val="zh-CN"/>
        </w:rPr>
        <w:t>本文件的范围涉及到了对设备的要求，在设计、制造、组装时必须要按照URS来执行。本文件最终修订版是与选定的设备供应商签订购买协议的一个主要部分。与合同具有同等的法律效力。供应商要遵守本文件里的信息和条件以及购买条款和条件。</w:t>
      </w:r>
    </w:p>
    <w:p>
      <w:pPr>
        <w:pStyle w:val="16"/>
        <w:rPr>
          <w:lang w:val="zh-CN"/>
        </w:rPr>
      </w:pPr>
      <w:bookmarkStart w:id="6" w:name="_Toc39501665"/>
      <w:r>
        <w:rPr>
          <w:rFonts w:hint="eastAsia"/>
          <w:lang w:val="zh-CN"/>
        </w:rPr>
        <w:t>2.</w:t>
      </w:r>
      <w:r>
        <w:rPr>
          <w:lang w:val="zh-CN"/>
        </w:rPr>
        <w:t xml:space="preserve">术语 </w:t>
      </w:r>
    </w:p>
    <w:tbl>
      <w:tblPr>
        <w:tblStyle w:val="8"/>
        <w:tblW w:w="0" w:type="auto"/>
        <w:jc w:val="center"/>
        <w:tblLayout w:type="fixed"/>
        <w:tblCellMar>
          <w:top w:w="0" w:type="dxa"/>
          <w:left w:w="108" w:type="dxa"/>
          <w:bottom w:w="0" w:type="dxa"/>
          <w:right w:w="108" w:type="dxa"/>
        </w:tblCellMar>
      </w:tblPr>
      <w:tblGrid>
        <w:gridCol w:w="1563"/>
        <w:gridCol w:w="7736"/>
      </w:tblGrid>
      <w:tr>
        <w:tblPrEx>
          <w:tblCellMar>
            <w:top w:w="0" w:type="dxa"/>
            <w:left w:w="108" w:type="dxa"/>
            <w:bottom w:w="0" w:type="dxa"/>
            <w:right w:w="108" w:type="dxa"/>
          </w:tblCellMar>
        </w:tblPrEx>
        <w:trPr>
          <w:trHeight w:val="496" w:hRule="exact"/>
          <w:tblHeader/>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rFonts w:hAnsi="Times New Roman"/>
                <w:kern w:val="0"/>
              </w:rPr>
            </w:pPr>
            <w:r>
              <w:rPr>
                <w:kern w:val="0"/>
              </w:rPr>
              <w:t>缩写</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rFonts w:hAnsi="Times New Roman"/>
                <w:kern w:val="0"/>
              </w:rPr>
            </w:pPr>
            <w:r>
              <w:rPr>
                <w:kern w:val="0"/>
              </w:rPr>
              <w:t>解释</w:t>
            </w:r>
          </w:p>
        </w:tc>
      </w:tr>
      <w:tr>
        <w:tblPrEx>
          <w:tblCellMar>
            <w:top w:w="0" w:type="dxa"/>
            <w:left w:w="108" w:type="dxa"/>
            <w:bottom w:w="0" w:type="dxa"/>
            <w:right w:w="108" w:type="dxa"/>
          </w:tblCellMar>
        </w:tblPrEx>
        <w:trPr>
          <w:trHeight w:val="474"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URS</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User Requirements Specifications/</w:t>
            </w:r>
            <w:r>
              <w:rPr>
                <w:rFonts w:hAnsiTheme="minorEastAsia"/>
                <w:kern w:val="0"/>
              </w:rPr>
              <w:t>用户需求</w:t>
            </w:r>
          </w:p>
        </w:tc>
      </w:tr>
      <w:tr>
        <w:tblPrEx>
          <w:tblCellMar>
            <w:top w:w="0" w:type="dxa"/>
            <w:left w:w="108" w:type="dxa"/>
            <w:bottom w:w="0" w:type="dxa"/>
            <w:right w:w="108" w:type="dxa"/>
          </w:tblCellMar>
        </w:tblPrEx>
        <w:trPr>
          <w:trHeight w:val="450"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EHSQ</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Environment, Health &amp; Safety/</w:t>
            </w:r>
            <w:r>
              <w:rPr>
                <w:rFonts w:hAnsiTheme="minorEastAsia"/>
                <w:kern w:val="0"/>
              </w:rPr>
              <w:t>环境、健康与安全</w:t>
            </w:r>
          </w:p>
        </w:tc>
      </w:tr>
      <w:tr>
        <w:tblPrEx>
          <w:tblCellMar>
            <w:top w:w="0" w:type="dxa"/>
            <w:left w:w="108" w:type="dxa"/>
            <w:bottom w:w="0" w:type="dxa"/>
            <w:right w:w="108" w:type="dxa"/>
          </w:tblCellMar>
        </w:tblPrEx>
        <w:trPr>
          <w:trHeight w:val="409" w:hRule="exact"/>
          <w:jc w:val="center"/>
        </w:trPr>
        <w:tc>
          <w:tcPr>
            <w:tcW w:w="1563" w:type="dxa"/>
            <w:tcBorders>
              <w:top w:val="single" w:color="000000" w:sz="6" w:space="0"/>
              <w:left w:val="single" w:color="000000" w:sz="6" w:space="0"/>
              <w:bottom w:val="single" w:color="000000" w:sz="6" w:space="0"/>
              <w:right w:val="single" w:color="000000" w:sz="6" w:space="0"/>
            </w:tcBorders>
            <w:shd w:val="clear" w:color="auto" w:fill="FFFFFF"/>
            <w:tcMar>
              <w:top w:w="0" w:type="dxa"/>
              <w:left w:w="108" w:type="dxa"/>
              <w:bottom w:w="0" w:type="dxa"/>
              <w:right w:w="108" w:type="dxa"/>
            </w:tcMar>
            <w:vAlign w:val="center"/>
          </w:tcPr>
          <w:p>
            <w:pPr>
              <w:rPr>
                <w:kern w:val="0"/>
              </w:rPr>
            </w:pPr>
            <w:r>
              <w:rPr>
                <w:kern w:val="0"/>
              </w:rPr>
              <w:t>cFDA</w:t>
            </w:r>
          </w:p>
        </w:tc>
        <w:tc>
          <w:tcPr>
            <w:tcW w:w="7736" w:type="dxa"/>
            <w:tcBorders>
              <w:top w:val="single" w:color="000000" w:sz="6" w:space="0"/>
              <w:left w:val="single" w:color="000000" w:sz="6" w:space="0"/>
              <w:bottom w:val="single" w:color="000000" w:sz="6" w:space="0"/>
              <w:right w:val="single" w:color="000000" w:sz="6" w:space="0"/>
            </w:tcBorders>
            <w:shd w:val="clear" w:color="auto" w:fill="FFFFFF"/>
            <w:tcMar>
              <w:top w:w="0" w:type="dxa"/>
              <w:left w:w="108" w:type="dxa"/>
              <w:bottom w:w="0" w:type="dxa"/>
              <w:right w:w="108" w:type="dxa"/>
            </w:tcMar>
            <w:vAlign w:val="center"/>
          </w:tcPr>
          <w:p>
            <w:pPr>
              <w:rPr>
                <w:kern w:val="0"/>
              </w:rPr>
            </w:pPr>
            <w:r>
              <w:rPr>
                <w:kern w:val="0"/>
              </w:rPr>
              <w:t>China Food and Drug Administration /</w:t>
            </w:r>
            <w:r>
              <w:rPr>
                <w:rFonts w:hAnsiTheme="minorEastAsia"/>
                <w:kern w:val="0"/>
              </w:rPr>
              <w:t>国家食品药品监督管理局</w:t>
            </w:r>
          </w:p>
          <w:p>
            <w:pPr>
              <w:rPr>
                <w:kern w:val="0"/>
              </w:rPr>
            </w:pPr>
          </w:p>
        </w:tc>
      </w:tr>
      <w:tr>
        <w:tblPrEx>
          <w:tblCellMar>
            <w:top w:w="0" w:type="dxa"/>
            <w:left w:w="108" w:type="dxa"/>
            <w:bottom w:w="0" w:type="dxa"/>
            <w:right w:w="108" w:type="dxa"/>
          </w:tblCellMar>
        </w:tblPrEx>
        <w:trPr>
          <w:trHeight w:val="43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Manufacturing Practices/</w:t>
            </w:r>
            <w:r>
              <w:rPr>
                <w:rFonts w:hAnsiTheme="minorEastAsia"/>
                <w:kern w:val="0"/>
              </w:rPr>
              <w:t>药品生产质量管理规范</w:t>
            </w:r>
          </w:p>
        </w:tc>
      </w:tr>
      <w:tr>
        <w:tblPrEx>
          <w:tblCellMar>
            <w:top w:w="0" w:type="dxa"/>
            <w:left w:w="108" w:type="dxa"/>
            <w:bottom w:w="0" w:type="dxa"/>
            <w:right w:w="108" w:type="dxa"/>
          </w:tblCellMar>
        </w:tblPrEx>
        <w:trPr>
          <w:trHeight w:val="45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GAMP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Automation Manufacturing Practices/</w:t>
            </w:r>
            <w:r>
              <w:rPr>
                <w:rFonts w:hAnsiTheme="minorEastAsia"/>
                <w:kern w:val="0"/>
              </w:rPr>
              <w:t>良好的自动化制造规范</w:t>
            </w:r>
          </w:p>
        </w:tc>
      </w:tr>
      <w:tr>
        <w:tblPrEx>
          <w:tblCellMar>
            <w:top w:w="0" w:type="dxa"/>
            <w:left w:w="108" w:type="dxa"/>
            <w:bottom w:w="0" w:type="dxa"/>
            <w:right w:w="108" w:type="dxa"/>
          </w:tblCellMar>
        </w:tblPrEx>
        <w:trPr>
          <w:trHeight w:val="442"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cGMP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Current Good Manufacturing Practices/</w:t>
            </w:r>
            <w:r>
              <w:rPr>
                <w:rFonts w:hAnsiTheme="minorEastAsia"/>
                <w:kern w:val="0"/>
              </w:rPr>
              <w:t>动态药品生产管理规范</w:t>
            </w:r>
          </w:p>
        </w:tc>
      </w:tr>
      <w:tr>
        <w:tblPrEx>
          <w:tblCellMar>
            <w:top w:w="0" w:type="dxa"/>
            <w:left w:w="108" w:type="dxa"/>
            <w:bottom w:w="0" w:type="dxa"/>
            <w:right w:w="108" w:type="dxa"/>
          </w:tblCellMar>
        </w:tblPrEx>
        <w:trPr>
          <w:trHeight w:val="44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GEP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Engineering Practices/</w:t>
            </w:r>
            <w:r>
              <w:rPr>
                <w:rFonts w:hAnsiTheme="minorEastAsia"/>
                <w:kern w:val="0"/>
              </w:rPr>
              <w:t>良好的工程管理规范</w:t>
            </w:r>
          </w:p>
        </w:tc>
      </w:tr>
      <w:tr>
        <w:tblPrEx>
          <w:tblCellMar>
            <w:top w:w="0" w:type="dxa"/>
            <w:left w:w="108" w:type="dxa"/>
            <w:bottom w:w="0" w:type="dxa"/>
            <w:right w:w="108" w:type="dxa"/>
          </w:tblCellMar>
        </w:tblPrEx>
        <w:trPr>
          <w:trHeight w:val="454"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GDP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Documentation Practices/</w:t>
            </w:r>
            <w:r>
              <w:rPr>
                <w:rFonts w:hAnsiTheme="minorEastAsia"/>
                <w:kern w:val="0"/>
              </w:rPr>
              <w:t>良好的文件管理规范</w:t>
            </w:r>
          </w:p>
        </w:tc>
      </w:tr>
      <w:tr>
        <w:tblPrEx>
          <w:tblCellMar>
            <w:top w:w="0" w:type="dxa"/>
            <w:left w:w="108" w:type="dxa"/>
            <w:bottom w:w="0" w:type="dxa"/>
            <w:right w:w="108" w:type="dxa"/>
          </w:tblCellMar>
        </w:tblPrEx>
        <w:trPr>
          <w:trHeight w:val="43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P&amp;ID</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Piping &amp; Instrument Diagram/</w:t>
            </w:r>
            <w:r>
              <w:rPr>
                <w:rFonts w:hAnsiTheme="minorEastAsia"/>
                <w:kern w:val="0"/>
              </w:rPr>
              <w:t>管路和仪表流程图</w:t>
            </w:r>
          </w:p>
        </w:tc>
      </w:tr>
      <w:tr>
        <w:tblPrEx>
          <w:tblCellMar>
            <w:top w:w="0" w:type="dxa"/>
            <w:left w:w="108" w:type="dxa"/>
            <w:bottom w:w="0" w:type="dxa"/>
            <w:right w:w="108" w:type="dxa"/>
          </w:tblCellMar>
        </w:tblPrEx>
        <w:trPr>
          <w:trHeight w:val="459"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PLC</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Programmable Logic Controller/</w:t>
            </w:r>
            <w:r>
              <w:rPr>
                <w:rFonts w:hAnsiTheme="minorEastAsia"/>
                <w:kern w:val="0"/>
              </w:rPr>
              <w:t>可编程控制器</w:t>
            </w:r>
          </w:p>
        </w:tc>
      </w:tr>
      <w:tr>
        <w:tblPrEx>
          <w:tblCellMar>
            <w:top w:w="0" w:type="dxa"/>
            <w:left w:w="108" w:type="dxa"/>
            <w:bottom w:w="0" w:type="dxa"/>
            <w:right w:w="108" w:type="dxa"/>
          </w:tblCellMar>
        </w:tblPrEx>
        <w:trPr>
          <w:trHeight w:val="453"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FAT</w:t>
            </w:r>
          </w:p>
        </w:tc>
        <w:tc>
          <w:tcPr>
            <w:tcW w:w="7736" w:type="dxa"/>
            <w:tcBorders>
              <w:top w:val="single" w:color="000000" w:sz="6" w:space="0"/>
              <w:left w:val="single" w:color="000000" w:sz="6" w:space="0"/>
              <w:bottom w:val="single" w:color="000000" w:sz="6" w:space="0"/>
              <w:right w:val="single" w:color="000000" w:sz="4" w:space="0"/>
            </w:tcBorders>
            <w:tcMar>
              <w:top w:w="0" w:type="dxa"/>
              <w:left w:w="108" w:type="dxa"/>
              <w:bottom w:w="0" w:type="dxa"/>
              <w:right w:w="108" w:type="dxa"/>
            </w:tcMar>
            <w:vAlign w:val="center"/>
          </w:tcPr>
          <w:p>
            <w:pPr>
              <w:rPr>
                <w:kern w:val="0"/>
              </w:rPr>
            </w:pPr>
            <w:r>
              <w:rPr>
                <w:kern w:val="0"/>
              </w:rPr>
              <w:t>Factory acceptance testing/</w:t>
            </w:r>
            <w:r>
              <w:rPr>
                <w:rFonts w:hAnsiTheme="minorEastAsia"/>
                <w:kern w:val="0"/>
              </w:rPr>
              <w:t>工厂验收测试</w:t>
            </w:r>
          </w:p>
        </w:tc>
      </w:tr>
      <w:tr>
        <w:tblPrEx>
          <w:tblCellMar>
            <w:top w:w="0" w:type="dxa"/>
            <w:left w:w="108" w:type="dxa"/>
            <w:bottom w:w="0" w:type="dxa"/>
            <w:right w:w="108" w:type="dxa"/>
          </w:tblCellMar>
        </w:tblPrEx>
        <w:trPr>
          <w:trHeight w:val="444" w:hRule="exact"/>
          <w:jc w:val="center"/>
        </w:trPr>
        <w:tc>
          <w:tcPr>
            <w:tcW w:w="1563" w:type="dxa"/>
            <w:tcBorders>
              <w:top w:val="single" w:color="000000" w:sz="6" w:space="0"/>
              <w:left w:val="single" w:color="000000" w:sz="4"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SAT</w:t>
            </w:r>
          </w:p>
        </w:tc>
        <w:tc>
          <w:tcPr>
            <w:tcW w:w="7736" w:type="dxa"/>
            <w:tcBorders>
              <w:top w:val="single" w:color="000000" w:sz="6" w:space="0"/>
              <w:left w:val="single" w:color="000000" w:sz="6" w:space="0"/>
              <w:bottom w:val="single" w:color="000000" w:sz="6" w:space="0"/>
              <w:right w:val="single" w:color="000000" w:sz="4" w:space="0"/>
            </w:tcBorders>
            <w:tcMar>
              <w:top w:w="0" w:type="dxa"/>
              <w:left w:w="108" w:type="dxa"/>
              <w:bottom w:w="0" w:type="dxa"/>
              <w:right w:w="108" w:type="dxa"/>
            </w:tcMar>
            <w:vAlign w:val="center"/>
          </w:tcPr>
          <w:p>
            <w:pPr>
              <w:rPr>
                <w:kern w:val="0"/>
              </w:rPr>
            </w:pPr>
            <w:r>
              <w:rPr>
                <w:kern w:val="0"/>
              </w:rPr>
              <w:t>Site acceptance testing/</w:t>
            </w:r>
            <w:r>
              <w:rPr>
                <w:rFonts w:hAnsiTheme="minorEastAsia"/>
                <w:kern w:val="0"/>
              </w:rPr>
              <w:t>现场验收测试</w:t>
            </w:r>
          </w:p>
        </w:tc>
      </w:tr>
      <w:tr>
        <w:trPr>
          <w:trHeight w:val="465" w:hRule="exact"/>
          <w:jc w:val="center"/>
        </w:trPr>
        <w:tc>
          <w:tcPr>
            <w:tcW w:w="1563" w:type="dxa"/>
            <w:tcBorders>
              <w:top w:val="single" w:color="000000" w:sz="6" w:space="0"/>
              <w:left w:val="single" w:color="000000" w:sz="4" w:space="0"/>
              <w:bottom w:val="single" w:color="000000" w:sz="4" w:space="0"/>
              <w:right w:val="single" w:color="000000" w:sz="6" w:space="0"/>
            </w:tcBorders>
            <w:tcMar>
              <w:top w:w="0" w:type="dxa"/>
              <w:left w:w="108" w:type="dxa"/>
              <w:bottom w:w="0" w:type="dxa"/>
              <w:right w:w="108" w:type="dxa"/>
            </w:tcMar>
            <w:vAlign w:val="center"/>
          </w:tcPr>
          <w:p>
            <w:pPr>
              <w:rPr>
                <w:kern w:val="0"/>
              </w:rPr>
            </w:pPr>
            <w:r>
              <w:rPr>
                <w:kern w:val="0"/>
              </w:rPr>
              <w:t>SOP</w:t>
            </w:r>
          </w:p>
        </w:tc>
        <w:tc>
          <w:tcPr>
            <w:tcW w:w="7736" w:type="dxa"/>
            <w:tcBorders>
              <w:top w:val="single" w:color="000000" w:sz="6" w:space="0"/>
              <w:left w:val="single" w:color="000000" w:sz="6"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Standard operation Procedure /</w:t>
            </w:r>
            <w:r>
              <w:rPr>
                <w:rFonts w:hAnsiTheme="minorEastAsia"/>
                <w:kern w:val="0"/>
              </w:rPr>
              <w:t>标准操作规程</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FDS</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Function Design Specification/</w:t>
            </w:r>
            <w:r>
              <w:rPr>
                <w:rFonts w:hAnsiTheme="minorEastAsia"/>
                <w:kern w:val="0"/>
              </w:rPr>
              <w:t>功能设计说明</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DQ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Design Qualification</w:t>
            </w:r>
            <w:r>
              <w:rPr>
                <w:rFonts w:hAnsiTheme="minorEastAsia"/>
                <w:kern w:val="0"/>
              </w:rPr>
              <w:t>设计确认</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IQ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Installation Qualification</w:t>
            </w:r>
            <w:r>
              <w:rPr>
                <w:rFonts w:hAnsiTheme="minorEastAsia"/>
                <w:kern w:val="0"/>
              </w:rPr>
              <w:t>安装确认</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OQ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 xml:space="preserve">Operational Qualification </w:t>
            </w:r>
            <w:r>
              <w:rPr>
                <w:rFonts w:hAnsiTheme="minorEastAsia"/>
                <w:kern w:val="0"/>
              </w:rPr>
              <w:t>运行确认</w:t>
            </w:r>
          </w:p>
        </w:tc>
      </w:tr>
      <w:tr>
        <w:tblPrEx>
          <w:tblCellMar>
            <w:top w:w="0" w:type="dxa"/>
            <w:left w:w="108" w:type="dxa"/>
            <w:bottom w:w="0" w:type="dxa"/>
            <w:right w:w="108" w:type="dxa"/>
          </w:tblCellMar>
        </w:tblPrEx>
        <w:trPr>
          <w:trHeight w:val="45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PQ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 xml:space="preserve">Performance Qualification </w:t>
            </w:r>
            <w:r>
              <w:rPr>
                <w:rFonts w:hAnsiTheme="minorEastAsia"/>
                <w:kern w:val="0"/>
              </w:rPr>
              <w:t>性能确认</w:t>
            </w:r>
          </w:p>
        </w:tc>
      </w:tr>
    </w:tbl>
    <w:p>
      <w:pPr>
        <w:rPr>
          <w:b/>
        </w:rPr>
      </w:pPr>
    </w:p>
    <w:p>
      <w:pPr>
        <w:rPr>
          <w:rFonts w:hAnsi="Times New Roman"/>
          <w:b/>
        </w:rPr>
      </w:pPr>
      <w:r>
        <w:rPr>
          <w:rFonts w:hint="eastAsia"/>
          <w:b/>
        </w:rPr>
        <w:t>3.</w:t>
      </w:r>
      <w:r>
        <w:rPr>
          <w:b/>
        </w:rPr>
        <w:t>设备性能要求</w:t>
      </w:r>
    </w:p>
    <w:bookmarkEnd w:id="1"/>
    <w:bookmarkEnd w:id="2"/>
    <w:bookmarkEnd w:id="6"/>
    <w:tbl>
      <w:tblPr>
        <w:tblStyle w:val="8"/>
        <w:tblW w:w="527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5733"/>
        <w:gridCol w:w="1517"/>
        <w:gridCol w:w="14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40"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52"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42"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URS01-01</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1.一体化水冷式冷水机组总体要求：安装于室外一楼，使用点在车间二楼，详图纸设计参数。</w:t>
            </w:r>
          </w:p>
          <w:p>
            <w:pPr>
              <w:rPr>
                <w:kern w:val="0"/>
              </w:rPr>
            </w:pPr>
            <w:r>
              <w:rPr>
                <w:kern w:val="0"/>
              </w:rPr>
              <w:t>1）制冷量≥238kW，1台，全年制冷，制冷剂R134a；</w:t>
            </w:r>
          </w:p>
          <w:p>
            <w:pPr>
              <w:rPr>
                <w:kern w:val="0"/>
              </w:rPr>
            </w:pPr>
            <w:r>
              <w:rPr>
                <w:kern w:val="0"/>
              </w:rPr>
              <w:t>2）冷冻水进出水温度12/7℃，进出水管管径DN100；</w:t>
            </w:r>
          </w:p>
          <w:p>
            <w:pPr>
              <w:rPr>
                <w:kern w:val="0"/>
              </w:rPr>
            </w:pPr>
            <w:r>
              <w:rPr>
                <w:kern w:val="0"/>
              </w:rPr>
              <w:t>3）冷却水进出温度30/35℃；</w:t>
            </w:r>
          </w:p>
          <w:p>
            <w:pPr>
              <w:rPr>
                <w:kern w:val="0"/>
              </w:rPr>
            </w:pPr>
            <w:r>
              <w:rPr>
                <w:kern w:val="0"/>
              </w:rPr>
              <w:t>4）配套冷冻水流量≥45m3/h；</w:t>
            </w:r>
          </w:p>
          <w:p>
            <w:pPr>
              <w:rPr>
                <w:color w:val="FF0000"/>
                <w:kern w:val="0"/>
              </w:rPr>
            </w:pPr>
            <w:r>
              <w:rPr>
                <w:kern w:val="0"/>
              </w:rPr>
              <w:t>5）配套</w:t>
            </w:r>
            <w:r>
              <w:rPr>
                <w:rFonts w:hint="eastAsia"/>
                <w:kern w:val="0"/>
              </w:rPr>
              <w:t>水泵</w:t>
            </w:r>
            <w:r>
              <w:rPr>
                <w:kern w:val="0"/>
              </w:rPr>
              <w:t>扬程≥</w:t>
            </w:r>
            <w:r>
              <w:rPr>
                <w:color w:val="FF0000"/>
                <w:kern w:val="0"/>
              </w:rPr>
              <w:t>32-40m；</w:t>
            </w:r>
            <w:r>
              <w:rPr>
                <w:rFonts w:hint="eastAsia"/>
                <w:color w:val="FF0000"/>
                <w:kern w:val="0"/>
                <w:highlight w:val="yellow"/>
              </w:rPr>
              <w:t>（说明：设计图纸为机外扬程2</w:t>
            </w:r>
            <w:r>
              <w:rPr>
                <w:color w:val="FF0000"/>
                <w:kern w:val="0"/>
                <w:highlight w:val="yellow"/>
              </w:rPr>
              <w:t>3</w:t>
            </w:r>
            <w:r>
              <w:rPr>
                <w:rFonts w:hint="eastAsia"/>
                <w:color w:val="FF0000"/>
                <w:kern w:val="0"/>
                <w:highlight w:val="yellow"/>
              </w:rPr>
              <w:t>米，所配置水泵扬程需确保本项目使用点压力及流量需求。）</w:t>
            </w:r>
          </w:p>
          <w:p>
            <w:pPr>
              <w:rPr>
                <w:kern w:val="0"/>
              </w:rPr>
            </w:pPr>
            <w:r>
              <w:rPr>
                <w:kern w:val="0"/>
              </w:rPr>
              <w:t>6）配套冷却水流量≥76m3/h；</w:t>
            </w:r>
          </w:p>
          <w:p>
            <w:pPr>
              <w:rPr>
                <w:kern w:val="0"/>
              </w:rPr>
            </w:pPr>
            <w:r>
              <w:rPr>
                <w:kern w:val="0"/>
              </w:rPr>
              <w:t>7）整机输入功率50.4KW；</w:t>
            </w:r>
          </w:p>
          <w:p>
            <w:pPr>
              <w:rPr>
                <w:kern w:val="0"/>
              </w:rPr>
            </w:pPr>
            <w:r>
              <w:rPr>
                <w:kern w:val="0"/>
              </w:rPr>
              <w:t>8）压缩机输入功率40.3kW；</w:t>
            </w:r>
          </w:p>
          <w:p>
            <w:pPr>
              <w:rPr>
                <w:kern w:val="0"/>
              </w:rPr>
            </w:pPr>
            <w:r>
              <w:rPr>
                <w:kern w:val="0"/>
              </w:rPr>
              <w:t>9)冷冻水泵数量:2台(一用一备）</w:t>
            </w:r>
          </w:p>
          <w:p>
            <w:pPr>
              <w:rPr>
                <w:kern w:val="0"/>
              </w:rPr>
            </w:pPr>
            <w:r>
              <w:rPr>
                <w:kern w:val="0"/>
              </w:rPr>
              <w:t>10)冷却水泵数量:2台（一用一备）</w:t>
            </w:r>
          </w:p>
          <w:p>
            <w:pPr>
              <w:rPr>
                <w:kern w:val="0"/>
              </w:rPr>
            </w:pPr>
            <w:r>
              <w:rPr>
                <w:kern w:val="0"/>
              </w:rPr>
              <w:t>参考外形尺寸：6300X2700X2700。</w:t>
            </w:r>
          </w:p>
          <w:p>
            <w:pPr>
              <w:rPr>
                <w:kern w:val="0"/>
              </w:rPr>
            </w:pPr>
            <w:r>
              <w:rPr>
                <w:kern w:val="0"/>
              </w:rPr>
              <w:t>2.由于设备安装现场条件所限，无法提供土建机房安装设备，设备安装在室外。本次招标设备为一体化水冷式冷水机组，要求投标人根据实际情况将冷水机组、冷冻水泵、冷却水泵、冷却塔、检测仪表、断水保护器等部件集成在一个箱体内并在工厂生产、调试完毕，整台设备必须是一个外形统一的整体撬块（为便于运输、吊装，可分成若干段位），整体吊装，不能在现场进行零部件组装。不接受冷却塔与主机分开安装形式。设备必须满足室外安装、使用要求。</w:t>
            </w:r>
          </w:p>
          <w:p>
            <w:pPr>
              <w:rPr>
                <w:kern w:val="0"/>
              </w:rPr>
            </w:pPr>
            <w:r>
              <w:rPr>
                <w:kern w:val="0"/>
              </w:rPr>
              <w:t>3.一体式机组应自带可靠的接地装置，并应有指示接地的明显标志。</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URS01-02</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投标设备应满足运行期内每天24小时连续运行的需要</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URS01-03</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所有部件及整机质量都由整机制造商负责，整机合格证应由整机制造商开具。设备的整机使用寿命不得低于20年；</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URS01-04</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1.380V  50Hz；</w:t>
            </w:r>
          </w:p>
          <w:p>
            <w:pPr>
              <w:rPr>
                <w:kern w:val="0"/>
              </w:rPr>
            </w:pPr>
            <w:r>
              <w:rPr>
                <w:kern w:val="0"/>
              </w:rPr>
              <w:t>额定电压±5%可长期运行，额定定压±10%可瞬时运转。</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URS01-05</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该机组为工艺设备（配制、洗瓶等）提供冷源全年运行。</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URS01-06</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机组PLC品牌为西门子等国际一线品牌。具有友好人机界面，全中文显示。</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URS01-07</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机组压缩机能效比（COP值）≥5.9。</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URS01-08</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系统配置的冷冻水系统、冷却水系统和补充水系统中的水泵品牌为：凯泉、东方、南方，阀门均为国内外名牌产品，使用方便，维修量小，寿命长。水泵电机功率≥18.5kW时，应采用变频启动方式。</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URS01-09</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机组设有高压保护器、低压保护器、排汽过热保护器、压缩机电机过热保护器、过电流保护器、反相及缺相保护器、防冻温度保护器以及紧急停机开关，感温式易熔器，安全阀，断水保护等。</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URS01-10</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一体化水冷式冷水机组内置的冷水机组压缩机、冷凝器（必须为壳管式〉、蒸发器必须为冷水机组主机厂家自己生产的产品。投标单位须提供主机厂家出具的压缩机品牌证明书。</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URS01-11</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压缩机：</w:t>
            </w:r>
          </w:p>
          <w:p>
            <w:pPr>
              <w:rPr>
                <w:kern w:val="0"/>
              </w:rPr>
            </w:pPr>
            <w:r>
              <w:rPr>
                <w:kern w:val="0"/>
              </w:rPr>
              <w:t>1.采用国际知名品牌（麦克维尔、德国比泽尔、开利）；</w:t>
            </w:r>
          </w:p>
          <w:p>
            <w:pPr>
              <w:rPr>
                <w:kern w:val="0"/>
              </w:rPr>
            </w:pPr>
            <w:r>
              <w:rPr>
                <w:kern w:val="0"/>
              </w:rPr>
              <w:t>2.压缩机需采用星形/三角降压启动方式；</w:t>
            </w:r>
          </w:p>
          <w:p>
            <w:pPr>
              <w:rPr>
                <w:kern w:val="0"/>
              </w:rPr>
            </w:pPr>
            <w:r>
              <w:rPr>
                <w:kern w:val="0"/>
              </w:rPr>
              <w:t>3.能量调节范围：单压缩机25%~100%；</w:t>
            </w:r>
          </w:p>
          <w:p>
            <w:pPr>
              <w:rPr>
                <w:kern w:val="0"/>
              </w:rPr>
            </w:pPr>
            <w:r>
              <w:rPr>
                <w:kern w:val="0"/>
              </w:rPr>
              <w:t>4.压缩机轴承选用高精度、高速、重载轴承，应为瑞典SKF、德国FAG品牌或其他相当品牌；</w:t>
            </w:r>
          </w:p>
          <w:p>
            <w:pPr>
              <w:rPr>
                <w:kern w:val="0"/>
              </w:rPr>
            </w:pPr>
            <w:r>
              <w:rPr>
                <w:kern w:val="0"/>
              </w:rPr>
              <w:t>5.压缩机需内置高效油分离器，油分离效率应达到99%以上；</w:t>
            </w:r>
          </w:p>
          <w:p>
            <w:pPr>
              <w:rPr>
                <w:kern w:val="0"/>
              </w:rPr>
            </w:pPr>
            <w:r>
              <w:rPr>
                <w:kern w:val="0"/>
              </w:rPr>
              <w:t>6.除以上要求外，压缩机各项性能应符合GB/T 19410-2008《螺杆式制冷剂压缩机》相关要求。</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URS01-12</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蒸发器：</w:t>
            </w:r>
          </w:p>
          <w:p>
            <w:pPr>
              <w:rPr>
                <w:kern w:val="0"/>
              </w:rPr>
            </w:pPr>
            <w:r>
              <w:rPr>
                <w:kern w:val="0"/>
              </w:rPr>
              <w:t>1.蒸发器作为特种设备，要求必须具备国家压力容器制造许可证D级（含D级）以上资质，其设计、制造与检验应符合TSG 21-2016《固定式压力容器安全技术监察规程》，NB/T47012-2020《制冷装置用压力容器》要求；</w:t>
            </w:r>
          </w:p>
          <w:p>
            <w:pPr>
              <w:rPr>
                <w:kern w:val="0"/>
              </w:rPr>
            </w:pPr>
            <w:r>
              <w:rPr>
                <w:kern w:val="0"/>
              </w:rPr>
              <w:t>2.蒸发器应采用高效满液式蒸发器；</w:t>
            </w:r>
          </w:p>
          <w:p>
            <w:pPr>
              <w:rPr>
                <w:kern w:val="0"/>
              </w:rPr>
            </w:pPr>
            <w:r>
              <w:rPr>
                <w:kern w:val="0"/>
              </w:rPr>
              <w:t>3.制冷剂侧设计压力不能低于1.5MPa，载冷剂侧设计压力不能低于1.0 MPa；</w:t>
            </w:r>
          </w:p>
          <w:p>
            <w:pPr>
              <w:rPr>
                <w:kern w:val="0"/>
              </w:rPr>
            </w:pPr>
            <w:r>
              <w:rPr>
                <w:kern w:val="0"/>
              </w:rPr>
              <w:t>4.蒸发器水侧污垢系数≥0.044m2·℃/kW；</w:t>
            </w:r>
          </w:p>
          <w:p>
            <w:pPr>
              <w:rPr>
                <w:kern w:val="0"/>
              </w:rPr>
            </w:pPr>
            <w:r>
              <w:rPr>
                <w:kern w:val="0"/>
              </w:rPr>
              <w:t>5.蒸发器水侧采用双管程设计；</w:t>
            </w:r>
          </w:p>
          <w:p>
            <w:pPr>
              <w:rPr>
                <w:kern w:val="0"/>
              </w:rPr>
            </w:pPr>
            <w:r>
              <w:rPr>
                <w:kern w:val="0"/>
              </w:rPr>
              <w:t>6.各蒸发器冷冻水不得采用串接式结构设计，以方便检修及使用；</w:t>
            </w:r>
          </w:p>
          <w:p>
            <w:pPr>
              <w:rPr>
                <w:kern w:val="0"/>
              </w:rPr>
            </w:pPr>
            <w:r>
              <w:rPr>
                <w:kern w:val="0"/>
              </w:rPr>
              <w:t>7.换热管：采用TP2高效满液式蒸发管，管内外采用强化换热的翅化表现处理；</w:t>
            </w:r>
          </w:p>
          <w:p>
            <w:pPr>
              <w:rPr>
                <w:kern w:val="0"/>
              </w:rPr>
            </w:pPr>
            <w:r>
              <w:rPr>
                <w:kern w:val="0"/>
              </w:rPr>
              <w:t>8.蒸发器筒体上需设置观察液位的视窗，以便于观察制冷剂液位；</w:t>
            </w:r>
          </w:p>
          <w:p>
            <w:pPr>
              <w:rPr>
                <w:kern w:val="0"/>
              </w:rPr>
            </w:pPr>
            <w:r>
              <w:rPr>
                <w:kern w:val="0"/>
              </w:rPr>
              <w:t>9.为便于后期安全阀的维护及校正，需配套设置关断球阀；</w:t>
            </w:r>
          </w:p>
          <w:p>
            <w:pPr>
              <w:rPr>
                <w:kern w:val="0"/>
              </w:rPr>
            </w:pPr>
            <w:r>
              <w:rPr>
                <w:kern w:val="0"/>
              </w:rPr>
              <w:t>10.冷冻水侧采用国标法兰连接的方式，并由供方提供配对法兰；</w:t>
            </w:r>
          </w:p>
          <w:p>
            <w:pPr>
              <w:rPr>
                <w:kern w:val="0"/>
              </w:rPr>
            </w:pPr>
            <w:r>
              <w:rPr>
                <w:kern w:val="0"/>
              </w:rPr>
              <w:t>11.蒸发器应进行防冻设计，在水通道的最低端应设置排水口，并配管引出至机组箱体外，且在管末端设置排水阀；</w:t>
            </w:r>
          </w:p>
          <w:p>
            <w:pPr>
              <w:rPr>
                <w:kern w:val="0"/>
              </w:rPr>
            </w:pPr>
            <w:r>
              <w:rPr>
                <w:kern w:val="0"/>
              </w:rPr>
              <w:t>12.冷冻水侧配置流量保护开关，并安装在机组上。</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URS01-13</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冷凝器：</w:t>
            </w:r>
          </w:p>
          <w:p>
            <w:pPr>
              <w:rPr>
                <w:kern w:val="0"/>
              </w:rPr>
            </w:pPr>
            <w:r>
              <w:rPr>
                <w:kern w:val="0"/>
              </w:rPr>
              <w:t>1.冷凝器要求壳管式结构，采用高效冷凝器隔液过冷技术；</w:t>
            </w:r>
          </w:p>
          <w:p>
            <w:pPr>
              <w:rPr>
                <w:kern w:val="0"/>
              </w:rPr>
            </w:pPr>
            <w:r>
              <w:rPr>
                <w:kern w:val="0"/>
              </w:rPr>
              <w:t>2. 冷凝器壳体采用无缝钢管或碳钢板焊接制作，管板焊接在壳体的两端；</w:t>
            </w:r>
          </w:p>
          <w:p>
            <w:pPr>
              <w:rPr>
                <w:kern w:val="0"/>
              </w:rPr>
            </w:pPr>
            <w:r>
              <w:rPr>
                <w:kern w:val="0"/>
              </w:rPr>
              <w:t>4. 冷凝器管束应采用高效换热铜管制作，铜管外径不小于19mm并采用机械胀接方法固定在两端管板上，所有管子应可独立更换；</w:t>
            </w:r>
          </w:p>
          <w:p>
            <w:pPr>
              <w:rPr>
                <w:kern w:val="0"/>
              </w:rPr>
            </w:pPr>
            <w:r>
              <w:rPr>
                <w:kern w:val="0"/>
              </w:rPr>
              <w:t>5. 冷凝器作为特种设备，必须具备国家压力容器制造许可证D级（含D级）以上资质；</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URS01-14</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冷却塔：</w:t>
            </w:r>
          </w:p>
          <w:p>
            <w:pPr>
              <w:rPr>
                <w:kern w:val="0"/>
              </w:rPr>
            </w:pPr>
            <w:r>
              <w:rPr>
                <w:kern w:val="0"/>
              </w:rPr>
              <w:t>1.冷却塔采用专用逆流式冷却塔，流线型导流风筒，风量大，效率高；</w:t>
            </w:r>
          </w:p>
          <w:p>
            <w:pPr>
              <w:rPr>
                <w:kern w:val="0"/>
              </w:rPr>
            </w:pPr>
            <w:r>
              <w:rPr>
                <w:kern w:val="0"/>
              </w:rPr>
              <w:t>2.冷却塔采用四面进风，以有效控制机组的漂水率，不允许有明显的漂水现象。</w:t>
            </w:r>
          </w:p>
          <w:p>
            <w:pPr>
              <w:rPr>
                <w:kern w:val="0"/>
              </w:rPr>
            </w:pPr>
            <w:r>
              <w:rPr>
                <w:kern w:val="0"/>
              </w:rPr>
              <w:t>3.冷却塔水池和布水装置采用304不锈钢，进风口采用304不锈钢百叶风口，填料支撑等与水接触部分采用201不锈钢，冷却塔带收水装置。</w:t>
            </w:r>
          </w:p>
          <w:p>
            <w:pPr>
              <w:rPr>
                <w:kern w:val="0"/>
              </w:rPr>
            </w:pPr>
            <w:r>
              <w:rPr>
                <w:kern w:val="0"/>
              </w:rPr>
              <w:t>4. 喷淋水系统用布水管及喷嘴要求防堵、防锈，易拆卸清理。应采用大流量防堵塞的提蓝式喷嘴，可在无需拆解机组盖板以及机组无需停机下拆卸喷嘴，实现快速清洗喷嘴及喷淋支管。</w:t>
            </w:r>
          </w:p>
          <w:p>
            <w:pPr>
              <w:rPr>
                <w:kern w:val="0"/>
              </w:rPr>
            </w:pPr>
            <w:r>
              <w:rPr>
                <w:kern w:val="0"/>
              </w:rPr>
              <w:t>5.冷却水泵应采用闭式冷却塔专用循环水泵，以适用开式布水系统独特的低扬程、大流量、水质差的应用需求。电机应选用户外型。应选用上海凯泉、杭州南方泵业等同档次及以上品牌的产品；</w:t>
            </w:r>
          </w:p>
          <w:p>
            <w:pPr>
              <w:rPr>
                <w:kern w:val="0"/>
              </w:rPr>
            </w:pPr>
            <w:r>
              <w:rPr>
                <w:kern w:val="0"/>
              </w:rPr>
              <w:t>6.为保护冷却水泵，水泵入口侧应设置滤网防堵塞，集水池内应装设不锈钢材质水位开关以防止冷却水泵缺水运行及防止电加热干烧；</w:t>
            </w:r>
          </w:p>
          <w:p>
            <w:pPr>
              <w:rPr>
                <w:kern w:val="0"/>
              </w:rPr>
            </w:pPr>
            <w:r>
              <w:rPr>
                <w:kern w:val="0"/>
              </w:rPr>
              <w:t>7.应采用高效轴流风机，应符合JB/T9099-2014《冷却塔轴流通风机》或者JB/T6411-2014《暖通空调用轴流通风机》要求。电机按户外全封闭型防水设计，绝缘等级为F级。</w:t>
            </w:r>
          </w:p>
          <w:p>
            <w:pPr>
              <w:rPr>
                <w:kern w:val="0"/>
              </w:rPr>
            </w:pPr>
            <w:r>
              <w:rPr>
                <w:kern w:val="0"/>
              </w:rPr>
              <w:t>8.为满足冷却塔高湿度环境使用要求，风机导风筒及护网应采用热镀锌处理，不得采用喷塑工艺。风叶应采用铝合金；</w:t>
            </w:r>
          </w:p>
          <w:p>
            <w:pPr>
              <w:rPr>
                <w:kern w:val="0"/>
              </w:rPr>
            </w:pPr>
            <w:r>
              <w:rPr>
                <w:kern w:val="0"/>
              </w:rPr>
              <w:t>9.冷却塔集水盘及与冷却水接触部件应进行耐腐蚀设计，应采用304不锈钢板，且厚度不得小于2㎜。集水盘的容水量应保证在启动冷却循环水泵后不出现水被抽空现象及停泵后不出现大量水溢流现象。冷却水输送用钢管应进行热浸锌处理；</w:t>
            </w:r>
          </w:p>
          <w:p>
            <w:pPr>
              <w:rPr>
                <w:kern w:val="0"/>
              </w:rPr>
            </w:pPr>
            <w:r>
              <w:rPr>
                <w:kern w:val="0"/>
              </w:rPr>
              <w:t>10.在机组外侧应设置排污阀，方便人工操作；</w:t>
            </w:r>
          </w:p>
          <w:p>
            <w:pPr>
              <w:rPr>
                <w:kern w:val="0"/>
              </w:rPr>
            </w:pPr>
            <w:r>
              <w:rPr>
                <w:kern w:val="0"/>
              </w:rPr>
              <w:t>11.冷却水补水采用浮球阀自动补水，补水流量应不小于机组推荐值；</w:t>
            </w:r>
          </w:p>
          <w:p>
            <w:pPr>
              <w:rPr>
                <w:kern w:val="0"/>
              </w:rPr>
            </w:pPr>
            <w:r>
              <w:rPr>
                <w:kern w:val="0"/>
              </w:rPr>
              <w:t>12.需设置自动排水阀，机组可根据累计运行时间进行自动排水，通过补水进行循环水钙、镁等离子浓度的控制。</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URS01-15</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应在压缩机、蒸发器、制冷剂管路等低温部位敷设橡塑保温材料，避免机组冷量损失；保温材料应为阻燃型，在相对湿度90%、温度7～40℃时，不结露。所有仪表应易于观测、维护、检定或校准，质量稳定可靠，符合国家计量标准。</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URS01-16</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整机框架：</w:t>
            </w:r>
          </w:p>
          <w:p>
            <w:pPr>
              <w:rPr>
                <w:kern w:val="0"/>
              </w:rPr>
            </w:pPr>
            <w:r>
              <w:rPr>
                <w:kern w:val="0"/>
              </w:rPr>
              <w:t>1.机组采用一体式结构设计，且所有的部件必须内置于整体式的箱体内，机组高度要求保持一致，外壳与所有外露部件的防腐处理，应能满足室外运行的温湿度条件；</w:t>
            </w:r>
          </w:p>
          <w:p>
            <w:pPr>
              <w:rPr>
                <w:kern w:val="0"/>
              </w:rPr>
            </w:pPr>
            <w:r>
              <w:rPr>
                <w:kern w:val="0"/>
              </w:rPr>
              <w:t>2.箱体框架、面板要求结构设计合理，具有一定的强度，满足吊运的需要。箱体上需设置多个检修门，采用铰链固定并配置门锁，便于日常维护使用及安全管理；</w:t>
            </w:r>
          </w:p>
          <w:p>
            <w:pPr>
              <w:rPr>
                <w:kern w:val="0"/>
              </w:rPr>
            </w:pPr>
            <w:r>
              <w:rPr>
                <w:kern w:val="0"/>
              </w:rPr>
              <w:t>3.为满足室外环境的使用要求，箱体结构应具有良好的防雨措施，同时配置风机强制通风冷却系统，并能根据箱体内温度进行启停控制，避免温度过高影响机组运行可靠性；</w:t>
            </w:r>
          </w:p>
          <w:p>
            <w:pPr>
              <w:rPr>
                <w:kern w:val="0"/>
              </w:rPr>
            </w:pPr>
            <w:r>
              <w:rPr>
                <w:kern w:val="0"/>
              </w:rPr>
              <w:t>4.机组需配置满足整机装配、运输、吊装及运行的整体槽钢底座，底座主框架材料规格≥16#H型钢，并进行整体喷漆处理，以提升抗腐性能；</w:t>
            </w:r>
          </w:p>
          <w:p>
            <w:pPr>
              <w:rPr>
                <w:kern w:val="0"/>
              </w:rPr>
            </w:pPr>
            <w:r>
              <w:rPr>
                <w:kern w:val="0"/>
              </w:rPr>
              <w:t>5.底座上需设置用于现场找平的调节块，对于分段出货的机组，还需设计用于段间拼接的连接块。</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URS01-17</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主机控制系统能对冷水机组、冷冻水泵、冷却水泵、冷却风机以及压缩机进行微电脑全自动测控，能对每台压缩机进行容量调节，并留有远程通讯接口，通过网络通讯方式进行计算机控制，即具有就地及远程控制方式冷却风机具有温控功能，即通过设置温度来控制冷却风机自动启停。</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URS01-18</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设备电源系统、控制系统、冷却水系统布局合理、不相互影响。</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URS01-19</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设备的内部各零部件光洁、不得有任何油污、灰尘及其他物质。</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URS01-20</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设备不用时，机组内冷冻水、冷却水可完全排净。</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URS01-21</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t>距离设备1m,设备噪声小于80dB。</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URS01-22</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en-US"/>
              </w:rPr>
            </w:pPr>
            <w:r>
              <w:t>机组必须具备“一键”智能控制，“傻瓜”式操作，只需一按即可自动运行机组，机组内部的压缩机、冷冻水泵、冷却水泵、冷却风机全部由主机自动控制运行。</w:t>
            </w:r>
            <w:r>
              <w:rPr>
                <w:lang w:eastAsia="en-US"/>
              </w:rPr>
              <w:t>无需专人操作、专人值守。</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URS01-23</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r>
              <w:t>阀门位置适宜，便于操作。</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URS01-24</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r>
              <w:t>压力表位置适宜，便于员工准确读取参数。</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URS01-25</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r>
              <w:t>主要的操作数据功能均在主机显示屏上读取、显示。</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bl>
    <w:p>
      <w:pPr>
        <w:rPr>
          <w:kern w:val="0"/>
          <w:lang w:eastAsia="en-US"/>
        </w:rPr>
      </w:pPr>
    </w:p>
    <w:p>
      <w:pPr>
        <w:rPr>
          <w:kern w:val="0"/>
          <w:lang w:eastAsia="en-US"/>
        </w:rPr>
      </w:pPr>
      <w:r>
        <w:rPr>
          <w:kern w:val="0"/>
          <w:lang w:eastAsia="en-US"/>
        </w:rPr>
        <w:t>4.电气与控制装置要求</w:t>
      </w:r>
    </w:p>
    <w:tbl>
      <w:tblPr>
        <w:tblStyle w:val="8"/>
        <w:tblW w:w="512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5608"/>
        <w:gridCol w:w="1509"/>
        <w:gridCol w:w="14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5416" w:type="dxa"/>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1457" w:type="dxa"/>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1430" w:type="dxa"/>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URS02-01</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机组内部线路应按国家或当地相关电气规范要求在厂内完成安装，应符合GB/T 18430.1产品标准规定。</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URS02-02</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电箱外连接线强、弱电分开走线，所有的线缆需走线槽，电线穿软管，避免线路暴露。</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URS02-03</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机组应在方便操作的区域设置紧急停机按钮，当按下该键时，系统应能立即关闭。当复位该按钮时，系统不会自动启动。</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URS02-04</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机组断电停机后，当恢复供电时，机组不能自动开机，必须人工启动。</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URS02-05</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机组必须有良好的接地保护，防止意外事故发生。</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URS02-06</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配电柜/控制柜应有防尘、防湿和防热功能，满足电气设备运行条件</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URS02-07</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控制器应保证在正常使用中，即使因误操作也不会对人身产生伤害或对机组设备产生严重损坏或对周围环境产生破坏。</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URS02-08</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机组控制系统采用触摸屏，方便操作，使用成熟控制技术，选用知名品牌厂家。</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URS02-09</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机组自控装置应预留可升级设计，方便添加扩展模板,数字和模拟输入/输出模块等来满足特殊要求。</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URS02-10</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主要电控元件性能必须可靠，需采用西门子、ABB等知名品牌的产品。</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URS02-11</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机组控制控制系统应具备自动控制运行、参数设置、监测显示、安全保护、故障报警及查询、联网通讯等功能。</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URS02-12</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控制器应预留标准S485接口，通过公开的MODBUS协议（或其它公开协议），实现远程监控。</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URS02-13</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机组可实现远程操作，通过物联网，实时监控机组运行状态。</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URS02-14</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机组控制系统应预留有供用户使用的控制接点，包括：远程开关机接点、机组共同警报信号接点、水泵输出接点（工程配置水泵时）。</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URS02-15</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机组要求有物联网监控功能，支持手机APP</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URS02-16</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rPr>
              <w:t>显示器应采用著名品牌的彩色触摸屏,显示色彩不得低于65536真彩，LED显示，且尺寸不小于7英寸。控制界面要求全中文显示，美观简洁，具有完善的状态显示、参数设定、密码保护、故障查询等多项控制和显示功能。</w:t>
            </w:r>
            <w:r>
              <w:rPr>
                <w:kern w:val="0"/>
                <w:lang w:eastAsia="en-US"/>
              </w:rPr>
              <w:t>参数设置应具备记忆功能，断电长期保存。</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URS02-17</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系统出现故障时，可以通过系统自带的诊断功能，对故障进行分析判断。</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URS02-18</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控制系统应具备超前诊断功能，减少机组报警停机的机率</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URS02-19</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控制器应设置操作员、管理员、厂商三级密码保护功能</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URS02-20</w:t>
            </w:r>
          </w:p>
        </w:tc>
        <w:tc>
          <w:tcPr>
            <w:tcW w:w="541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机组的安全保护项目包括（但不限于）以下内容：</w:t>
            </w:r>
          </w:p>
          <w:p>
            <w:pPr>
              <w:rPr>
                <w:kern w:val="0"/>
              </w:rPr>
            </w:pPr>
            <w:r>
              <w:rPr>
                <w:kern w:val="0"/>
              </w:rPr>
              <w:t>1.冷冻水温度过低保护；</w:t>
            </w:r>
          </w:p>
          <w:p>
            <w:pPr>
              <w:rPr>
                <w:kern w:val="0"/>
              </w:rPr>
            </w:pPr>
            <w:r>
              <w:rPr>
                <w:kern w:val="0"/>
              </w:rPr>
              <w:t>2.蒸发器温度/压力过低保护；</w:t>
            </w:r>
          </w:p>
          <w:p>
            <w:pPr>
              <w:rPr>
                <w:kern w:val="0"/>
              </w:rPr>
            </w:pPr>
            <w:r>
              <w:rPr>
                <w:kern w:val="0"/>
              </w:rPr>
              <w:t>3.冷凝器温度/压力过高保护；</w:t>
            </w:r>
          </w:p>
          <w:p>
            <w:pPr>
              <w:rPr>
                <w:kern w:val="0"/>
              </w:rPr>
            </w:pPr>
            <w:r>
              <w:rPr>
                <w:kern w:val="0"/>
              </w:rPr>
              <w:t>4.系统压差过低保护；</w:t>
            </w:r>
          </w:p>
          <w:p>
            <w:pPr>
              <w:rPr>
                <w:kern w:val="0"/>
              </w:rPr>
            </w:pPr>
            <w:r>
              <w:rPr>
                <w:kern w:val="0"/>
              </w:rPr>
              <w:t>5.排气温度过高保护；</w:t>
            </w:r>
          </w:p>
          <w:p>
            <w:pPr>
              <w:rPr>
                <w:kern w:val="0"/>
              </w:rPr>
            </w:pPr>
            <w:r>
              <w:rPr>
                <w:kern w:val="0"/>
              </w:rPr>
              <w:t>6.排气过热度过低保护；</w:t>
            </w:r>
          </w:p>
          <w:p>
            <w:pPr>
              <w:rPr>
                <w:kern w:val="0"/>
              </w:rPr>
            </w:pPr>
            <w:r>
              <w:rPr>
                <w:kern w:val="0"/>
              </w:rPr>
              <w:t>7.温度传感器异常保护；</w:t>
            </w:r>
          </w:p>
          <w:p>
            <w:pPr>
              <w:rPr>
                <w:kern w:val="0"/>
              </w:rPr>
            </w:pPr>
            <w:r>
              <w:rPr>
                <w:kern w:val="0"/>
              </w:rPr>
              <w:t>8.节流装置故障保护；</w:t>
            </w:r>
          </w:p>
          <w:p>
            <w:pPr>
              <w:rPr>
                <w:kern w:val="0"/>
              </w:rPr>
            </w:pPr>
            <w:r>
              <w:rPr>
                <w:kern w:val="0"/>
              </w:rPr>
              <w:t>9.压缩机启动失败保护；</w:t>
            </w:r>
          </w:p>
          <w:p>
            <w:pPr>
              <w:rPr>
                <w:kern w:val="0"/>
              </w:rPr>
            </w:pPr>
            <w:r>
              <w:rPr>
                <w:kern w:val="0"/>
              </w:rPr>
              <w:t>10.压缩机油位过低保护；</w:t>
            </w:r>
          </w:p>
          <w:p>
            <w:pPr>
              <w:rPr>
                <w:kern w:val="0"/>
              </w:rPr>
            </w:pPr>
            <w:r>
              <w:rPr>
                <w:kern w:val="0"/>
              </w:rPr>
              <w:t>11.压缩机内部保护；</w:t>
            </w:r>
          </w:p>
          <w:p>
            <w:pPr>
              <w:rPr>
                <w:kern w:val="0"/>
              </w:rPr>
            </w:pPr>
            <w:r>
              <w:rPr>
                <w:kern w:val="0"/>
              </w:rPr>
              <w:t>12.压缩机外部过载保护；</w:t>
            </w:r>
          </w:p>
          <w:p>
            <w:pPr>
              <w:rPr>
                <w:kern w:val="0"/>
              </w:rPr>
            </w:pPr>
            <w:r>
              <w:rPr>
                <w:kern w:val="0"/>
              </w:rPr>
              <w:t>13.水泵过载保护；</w:t>
            </w:r>
          </w:p>
          <w:p>
            <w:pPr>
              <w:rPr>
                <w:kern w:val="0"/>
              </w:rPr>
            </w:pPr>
            <w:r>
              <w:rPr>
                <w:kern w:val="0"/>
              </w:rPr>
              <w:t>14.冷却风机过载保护；</w:t>
            </w:r>
          </w:p>
          <w:p>
            <w:pPr>
              <w:rPr>
                <w:kern w:val="0"/>
              </w:rPr>
            </w:pPr>
            <w:r>
              <w:rPr>
                <w:kern w:val="0"/>
              </w:rPr>
              <w:t>15.冷冻水流不足保护；</w:t>
            </w:r>
          </w:p>
          <w:p>
            <w:pPr>
              <w:rPr>
                <w:kern w:val="0"/>
              </w:rPr>
            </w:pPr>
            <w:r>
              <w:rPr>
                <w:kern w:val="0"/>
              </w:rPr>
              <w:t>16.冷却水位过低保护；</w:t>
            </w:r>
          </w:p>
          <w:p>
            <w:pPr>
              <w:rPr>
                <w:kern w:val="0"/>
              </w:rPr>
            </w:pPr>
            <w:r>
              <w:rPr>
                <w:kern w:val="0"/>
              </w:rPr>
              <w:t>17.欠压、过压、欠相、逆相、相不平衡保护；</w:t>
            </w:r>
          </w:p>
          <w:p>
            <w:pPr>
              <w:rPr>
                <w:kern w:val="0"/>
              </w:rPr>
            </w:pPr>
            <w:r>
              <w:rPr>
                <w:kern w:val="0"/>
              </w:rPr>
              <w:t>18.压力传感器错误报警；</w:t>
            </w:r>
          </w:p>
          <w:p>
            <w:pPr>
              <w:rPr>
                <w:kern w:val="0"/>
              </w:rPr>
            </w:pPr>
            <w:r>
              <w:rPr>
                <w:kern w:val="0"/>
              </w:rPr>
              <w:t>19压缩机频繁启停保护。</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76" w:type="dxa"/>
            <w:tcBorders>
              <w:top w:val="single" w:color="auto" w:sz="4" w:space="0"/>
              <w:left w:val="single" w:color="auto" w:sz="12" w:space="0"/>
              <w:bottom w:val="single" w:color="auto" w:sz="12" w:space="0"/>
              <w:right w:val="single" w:color="auto" w:sz="4" w:space="0"/>
            </w:tcBorders>
            <w:shd w:val="clear" w:color="auto" w:fill="auto"/>
            <w:vAlign w:val="center"/>
          </w:tcPr>
          <w:p>
            <w:pPr>
              <w:rPr>
                <w:kern w:val="0"/>
                <w:lang w:eastAsia="en-US"/>
              </w:rPr>
            </w:pPr>
            <w:r>
              <w:rPr>
                <w:kern w:val="0"/>
                <w:lang w:eastAsia="en-US"/>
              </w:rPr>
              <w:t>URS02-21</w:t>
            </w:r>
          </w:p>
        </w:tc>
        <w:tc>
          <w:tcPr>
            <w:tcW w:w="5416" w:type="dxa"/>
            <w:tcBorders>
              <w:top w:val="single" w:color="auto" w:sz="4" w:space="0"/>
              <w:left w:val="single" w:color="auto" w:sz="4" w:space="0"/>
              <w:bottom w:val="single" w:color="auto" w:sz="12" w:space="0"/>
              <w:right w:val="single" w:color="auto" w:sz="4" w:space="0"/>
            </w:tcBorders>
            <w:shd w:val="clear" w:color="auto" w:fill="auto"/>
            <w:vAlign w:val="center"/>
          </w:tcPr>
          <w:p>
            <w:pPr>
              <w:rPr>
                <w:kern w:val="0"/>
              </w:rPr>
            </w:pPr>
            <w:r>
              <w:rPr>
                <w:kern w:val="0"/>
              </w:rPr>
              <w:t>触摸屏显示有关参数须包括（不限于）以下各项参数：</w:t>
            </w:r>
          </w:p>
          <w:p>
            <w:pPr>
              <w:rPr>
                <w:kern w:val="0"/>
              </w:rPr>
            </w:pPr>
            <w:r>
              <w:rPr>
                <w:kern w:val="0"/>
              </w:rPr>
              <w:t>1.冷冻水进、出水温度，设定水温及温差；</w:t>
            </w:r>
          </w:p>
          <w:p>
            <w:pPr>
              <w:rPr>
                <w:kern w:val="0"/>
              </w:rPr>
            </w:pPr>
            <w:r>
              <w:rPr>
                <w:kern w:val="0"/>
              </w:rPr>
              <w:t>2.机组运行状态、机组及压缩机容量；</w:t>
            </w:r>
          </w:p>
          <w:p>
            <w:pPr>
              <w:rPr>
                <w:kern w:val="0"/>
              </w:rPr>
            </w:pPr>
            <w:r>
              <w:rPr>
                <w:kern w:val="0"/>
              </w:rPr>
              <w:t>3.机组运行电流 ；</w:t>
            </w:r>
          </w:p>
          <w:p>
            <w:pPr>
              <w:rPr>
                <w:kern w:val="0"/>
              </w:rPr>
            </w:pPr>
            <w:r>
              <w:rPr>
                <w:kern w:val="0"/>
              </w:rPr>
              <w:t>4.机组排气压力、吸气压力 、吸排气压差；</w:t>
            </w:r>
          </w:p>
          <w:p>
            <w:pPr>
              <w:rPr>
                <w:kern w:val="0"/>
              </w:rPr>
            </w:pPr>
            <w:r>
              <w:rPr>
                <w:kern w:val="0"/>
              </w:rPr>
              <w:t>5.系统温度：压缩机排气温度、排气过热度；</w:t>
            </w:r>
          </w:p>
          <w:p>
            <w:pPr>
              <w:rPr>
                <w:kern w:val="0"/>
              </w:rPr>
            </w:pPr>
            <w:r>
              <w:rPr>
                <w:kern w:val="0"/>
              </w:rPr>
              <w:t>6.系统部件状态：压缩机运行状态、水泵运行状态、冷却风机运行状态、节流装置开启度；</w:t>
            </w:r>
          </w:p>
          <w:p>
            <w:pPr>
              <w:rPr>
                <w:kern w:val="0"/>
              </w:rPr>
            </w:pPr>
            <w:r>
              <w:rPr>
                <w:kern w:val="0"/>
              </w:rPr>
              <w:t>7.压缩机累计运转时间；</w:t>
            </w:r>
          </w:p>
          <w:p>
            <w:pPr>
              <w:rPr>
                <w:kern w:val="0"/>
              </w:rPr>
            </w:pPr>
            <w:r>
              <w:rPr>
                <w:kern w:val="0"/>
              </w:rPr>
              <w:t>8.报警记录；</w:t>
            </w:r>
          </w:p>
          <w:p>
            <w:pPr>
              <w:rPr>
                <w:kern w:val="0"/>
              </w:rPr>
            </w:pPr>
            <w:r>
              <w:rPr>
                <w:kern w:val="0"/>
              </w:rPr>
              <w:t>9.水温历史曲线。</w:t>
            </w:r>
          </w:p>
          <w:p>
            <w:pPr>
              <w:rPr>
                <w:kern w:val="0"/>
              </w:rPr>
            </w:pPr>
            <w:r>
              <w:rPr>
                <w:kern w:val="0"/>
              </w:rPr>
              <w:t>10.机组运行原理示意流程图</w:t>
            </w:r>
          </w:p>
        </w:tc>
        <w:tc>
          <w:tcPr>
            <w:tcW w:w="1457" w:type="dxa"/>
            <w:tcBorders>
              <w:top w:val="single" w:color="auto" w:sz="4" w:space="0"/>
              <w:left w:val="single" w:color="auto" w:sz="4" w:space="0"/>
              <w:bottom w:val="single" w:color="auto" w:sz="12" w:space="0"/>
              <w:right w:val="single" w:color="auto" w:sz="4" w:space="0"/>
            </w:tcBorders>
            <w:shd w:val="clear" w:color="auto" w:fill="auto"/>
            <w:vAlign w:val="center"/>
          </w:tcPr>
          <w:p>
            <w:pPr>
              <w:rPr>
                <w:kern w:val="0"/>
                <w:lang w:eastAsia="en-US"/>
              </w:rPr>
            </w:pPr>
            <w:r>
              <w:rPr>
                <w:kern w:val="0"/>
                <w:lang w:eastAsia="en-US"/>
              </w:rPr>
              <w:t>必须</w:t>
            </w:r>
          </w:p>
        </w:tc>
        <w:tc>
          <w:tcPr>
            <w:tcW w:w="1430" w:type="dxa"/>
            <w:tcBorders>
              <w:top w:val="single" w:color="auto" w:sz="4" w:space="0"/>
              <w:left w:val="single" w:color="auto" w:sz="4" w:space="0"/>
              <w:bottom w:val="single" w:color="auto" w:sz="12" w:space="0"/>
              <w:right w:val="single" w:color="auto" w:sz="12" w:space="0"/>
            </w:tcBorders>
            <w:shd w:val="clear" w:color="auto" w:fill="auto"/>
            <w:vAlign w:val="center"/>
          </w:tcPr>
          <w:p>
            <w:pPr>
              <w:rPr>
                <w:kern w:val="0"/>
                <w:lang w:eastAsia="en-US"/>
              </w:rPr>
            </w:pPr>
          </w:p>
        </w:tc>
      </w:tr>
    </w:tbl>
    <w:p>
      <w:pPr>
        <w:rPr>
          <w:kern w:val="0"/>
          <w:lang w:eastAsia="en-US"/>
        </w:rPr>
      </w:pPr>
      <w:r>
        <w:rPr>
          <w:kern w:val="0"/>
          <w:lang w:eastAsia="en-US"/>
        </w:rPr>
        <w:t>5设施/公用系统要求</w:t>
      </w:r>
    </w:p>
    <w:tbl>
      <w:tblPr>
        <w:tblStyle w:val="8"/>
        <w:tblW w:w="540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9"/>
        <w:gridCol w:w="1084"/>
        <w:gridCol w:w="257"/>
        <w:gridCol w:w="5473"/>
        <w:gridCol w:w="257"/>
        <w:gridCol w:w="1260"/>
        <w:gridCol w:w="257"/>
        <w:gridCol w:w="1239"/>
        <w:gridCol w:w="2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125" w:type="pct"/>
          <w:trHeight w:val="397" w:hRule="atLeast"/>
          <w:jc w:val="center"/>
        </w:trPr>
        <w:tc>
          <w:tcPr>
            <w:tcW w:w="648" w:type="pct"/>
            <w:gridSpan w:val="2"/>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768" w:type="pct"/>
            <w:gridSpan w:val="2"/>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33" w:type="pct"/>
            <w:gridSpan w:val="2"/>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23" w:type="pct"/>
            <w:gridSpan w:val="2"/>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5" w:type="pct"/>
          <w:trHeight w:val="227" w:hRule="atLeast"/>
          <w:jc w:val="center"/>
        </w:trPr>
        <w:tc>
          <w:tcPr>
            <w:tcW w:w="6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URS03-01</w:t>
            </w:r>
          </w:p>
        </w:tc>
        <w:tc>
          <w:tcPr>
            <w:tcW w:w="276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t>3相5线制电源，220/380V±10%V，50Hz。</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5" w:type="pct"/>
          <w:trHeight w:val="130" w:hRule="atLeast"/>
          <w:jc w:val="center"/>
        </w:trPr>
        <w:tc>
          <w:tcPr>
            <w:tcW w:w="6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URS03-02</w:t>
            </w:r>
          </w:p>
        </w:tc>
        <w:tc>
          <w:tcPr>
            <w:tcW w:w="276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bCs/>
              </w:rPr>
            </w:pPr>
            <w:r>
              <w:rPr>
                <w:kern w:val="0"/>
              </w:rPr>
              <w:t>电气柜应有防尘、防湿、排热措施。电气柜所有金属部位应该正确接地。</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5" w:type="pct"/>
          <w:trHeight w:val="975" w:hRule="atLeast"/>
          <w:jc w:val="center"/>
        </w:trPr>
        <w:tc>
          <w:tcPr>
            <w:tcW w:w="6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URS03-03</w:t>
            </w:r>
          </w:p>
        </w:tc>
        <w:tc>
          <w:tcPr>
            <w:tcW w:w="276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采取符合GB/T5226中的规定等国家相关标准的防漏电及电气安全接地措施，接地电阻不大于0.1</w:t>
            </w:r>
            <w:r>
              <w:rPr>
                <w:kern w:val="0"/>
                <w:lang w:eastAsia="en-US"/>
              </w:rPr>
              <w:t>Ω</w:t>
            </w:r>
            <w:r>
              <w:rPr>
                <w:kern w:val="0"/>
              </w:rPr>
              <w:t>；绝缘等级F级。</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5" w:type="pct"/>
          <w:trHeight w:val="210" w:hRule="atLeast"/>
          <w:jc w:val="center"/>
        </w:trPr>
        <w:tc>
          <w:tcPr>
            <w:tcW w:w="6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URS03-04</w:t>
            </w:r>
          </w:p>
        </w:tc>
        <w:tc>
          <w:tcPr>
            <w:tcW w:w="276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rPr>
              <w:t>工作环境温度为-10℃至+40℃,相对湿度＜90%。</w:t>
            </w:r>
            <w:r>
              <w:rPr>
                <w:kern w:val="0"/>
                <w:lang w:eastAsia="en-US"/>
              </w:rPr>
              <w:t>（ 全年制冷）</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5" w:type="pct"/>
          <w:trHeight w:val="190" w:hRule="atLeast"/>
          <w:jc w:val="center"/>
        </w:trPr>
        <w:tc>
          <w:tcPr>
            <w:tcW w:w="6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URS03-05</w:t>
            </w:r>
          </w:p>
        </w:tc>
        <w:tc>
          <w:tcPr>
            <w:tcW w:w="276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工作环境压力为常压。</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5" w:type="pct"/>
          <w:trHeight w:val="175" w:hRule="atLeast"/>
          <w:jc w:val="center"/>
        </w:trPr>
        <w:tc>
          <w:tcPr>
            <w:tcW w:w="6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URS03-06</w:t>
            </w:r>
          </w:p>
        </w:tc>
        <w:tc>
          <w:tcPr>
            <w:tcW w:w="276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冷媒水的温度设计为7-12℃,压力为0.2-0.4MPa。</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2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bl>
    <w:p>
      <w:pPr>
        <w:rPr>
          <w:kern w:val="0"/>
        </w:rPr>
      </w:pPr>
      <w:r>
        <w:rPr>
          <w:kern w:val="0"/>
        </w:rPr>
        <w:t>6.文件要求（包括但不限于以下内容）</w:t>
      </w:r>
    </w:p>
    <w:tbl>
      <w:tblPr>
        <w:tblStyle w:val="8"/>
        <w:tblW w:w="526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5725"/>
        <w:gridCol w:w="1516"/>
        <w:gridCol w:w="14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38"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52"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43"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27"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URS04-01</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提供企业资质：营业执照、特种设备加工许可证、政府相关部门鉴定证书等。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3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URS04-02</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提供所需文件清单。</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9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URS04-03</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提供功能设计说明：包括设备描述、操作步骤、有屏幕启动的HMI（触摸屏）功能、故障显示清单、互锁清单和区图表（有功能和警报）、主要部件的关键清单、设备的特殊功能和规格数据单、设备示意图。</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1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URS04-04</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操作手册及图纸：设备安装说明或指南，设备主要部件及操作系统的操作和维修手册，预防性维修表，所有购买的重要的附属设备的操作和维修手册，每台设备建议性的操作、清洁和维修的SOP，设备和电器及控制系统图纸及备件清单、元件和仪器清单、工艺流程图、安装图纸、软件逻辑/操作和控制流程图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9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URS04-05</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证书及检测报告：设备原产地证明文件，直接/间接与产品接触的表面材质证书，仪器仪表的可追溯的国家标准及其校准程序和证书，润滑油型号、说明书及食物级别证书，每台设备和附属设备的质量保证书，如：PLC等，现场检测标准及检测报告（有检测数据和结果），控制系统输入/输出确认数据和报告，压力容器证书、设备安全证书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URS04-06</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提供设备和</w:t>
            </w:r>
            <w:r>
              <w:t>控制系统</w:t>
            </w:r>
            <w:r>
              <w:rPr>
                <w:kern w:val="0"/>
              </w:rPr>
              <w:t>验证所需资料：</w:t>
            </w:r>
            <w:r>
              <w:t xml:space="preserve"> DQ、IQ、OQ验证报告文件</w:t>
            </w:r>
            <w:r>
              <w:rPr>
                <w:kern w:val="0"/>
              </w:rPr>
              <w:t>，PQ验证方案文件（</w:t>
            </w:r>
            <w:r>
              <w:t>供方协助需方共同完成）</w:t>
            </w:r>
            <w:r>
              <w:rPr>
                <w:kern w:val="0"/>
              </w:rPr>
              <w:t>，SAT测试方案及报告书。</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bl>
    <w:p>
      <w:pPr>
        <w:rPr>
          <w:kern w:val="0"/>
          <w:lang w:eastAsia="en-US"/>
        </w:rPr>
      </w:pPr>
      <w:r>
        <w:rPr>
          <w:kern w:val="0"/>
          <w:lang w:eastAsia="en-US"/>
        </w:rPr>
        <w:t>7.服务与维修要求</w:t>
      </w:r>
    </w:p>
    <w:tbl>
      <w:tblPr>
        <w:tblStyle w:val="8"/>
        <w:tblW w:w="526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5712"/>
        <w:gridCol w:w="30"/>
        <w:gridCol w:w="1511"/>
        <w:gridCol w:w="14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37" w:type="pct"/>
            <w:gridSpan w:val="2"/>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52"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43"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27"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URS05-01</w:t>
            </w:r>
          </w:p>
        </w:tc>
        <w:tc>
          <w:tcPr>
            <w:tcW w:w="283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rPr>
              <w:t>质保期：所有产品均必须由中标人提供至少2年的全免费上门保修服务，并终身维护。（若国家/或生产厂家对本项目所涉及货物的质量保证期的规定高于本项目的要求，应按国家或/生产厂家的规定执行。</w:t>
            </w:r>
            <w:r>
              <w:rPr>
                <w:kern w:val="0"/>
                <w:lang w:eastAsia="en-US"/>
              </w:rPr>
              <w:t>具体由投标人在投标文件中作出承诺）</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3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URS05-02</w:t>
            </w:r>
          </w:p>
        </w:tc>
        <w:tc>
          <w:tcPr>
            <w:tcW w:w="283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质保期为项目验收合格，由买卖双方签署验收合格证书并办理项目移交之日起算。中标人对项目货物及服务在质保期货物质量问题实行保修、包换、包退等服务</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9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URS05-03</w:t>
            </w:r>
          </w:p>
        </w:tc>
        <w:tc>
          <w:tcPr>
            <w:tcW w:w="283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在质保期内如有设备或零件不能使用需更换，则该部分设备或部件质保期相应延长。所有设备在保修期内，如非人为原因出现产品质量问题，维修三次后仍然有故障，则必须无条件更换不低于同品牌、同型号新设备或作退货处理，所涉费用由中标人负责。</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1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URS05-04</w:t>
            </w:r>
          </w:p>
        </w:tc>
        <w:tc>
          <w:tcPr>
            <w:tcW w:w="2837"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保修期外的设备维修只收零件费，维修人员的差旅费自理。</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9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URS05-05</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维修响应时间：维修服务2小时内响应，24小时内专业工程师到现场维修，故障须在3日内修复。</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URS05-06</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投标人必须提供售后技术支持中心的详细资料，提出质保期满后的收费维修和维护的内容、费用、服务方式、服务范围。</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URS05-07</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在任何时候，投标人均不能免除因设备本身缺陷所应负的责任。投标人有义务对所提供的货物实行终身维护和对设备进行定期的检测与维护。</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URS05-08</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设备使用年限内免费升级操作软件，每年不少于1次维护保养。</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URS05-09</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中标人应提供正常情况下使用的备品备件清单（包括进口设备上的备品备件），方便用户从当地市场采购和更换。</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URS05-10</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零配件的提供：①卖方应提供在货物验收合格后可连续运行2年的备品备件；②在设备使用寿命内，卖方应保证设备零配件的供应，并提供优惠供应的承诺；③配套零配件齐全。</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URS05-11</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专用器具：提供本机使用的安装校正器具各一组；本机拆卸、保养专用工具一组。</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URS05-12</w:t>
            </w:r>
          </w:p>
        </w:tc>
        <w:tc>
          <w:tcPr>
            <w:tcW w:w="2834"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运行维护：</w:t>
            </w:r>
            <w:r>
              <w:t>设备应能24小时连续运行。性能稳定可靠，除年检以外的其它检查或维护次数应尽量减少的最小。</w:t>
            </w:r>
          </w:p>
        </w:tc>
        <w:tc>
          <w:tcPr>
            <w:tcW w:w="3" w:type="pct"/>
            <w:tcBorders>
              <w:top w:val="single" w:color="000000" w:sz="4" w:space="0"/>
              <w:left w:val="single" w:color="000000" w:sz="4" w:space="0"/>
              <w:bottom w:val="single" w:color="000000" w:sz="4" w:space="0"/>
              <w:right w:val="single" w:color="000000" w:sz="4" w:space="0"/>
            </w:tcBorders>
            <w:shd w:val="clear" w:color="auto" w:fill="FFFFFF"/>
            <w:vAlign w:val="center"/>
          </w:tcP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1296" w:type="dxa"/>
            <w:shd w:val="clear" w:color="auto" w:fill="FFFFFF"/>
          </w:tcPr>
          <w:p>
            <w:pPr>
              <w:rPr>
                <w:kern w:val="0"/>
                <w:lang w:eastAsia="en-US"/>
              </w:rPr>
            </w:pPr>
            <w:r>
              <w:rPr>
                <w:kern w:val="0"/>
                <w:lang w:eastAsia="en-US"/>
              </w:rPr>
              <w:t>URS05-13</w:t>
            </w:r>
          </w:p>
        </w:tc>
        <w:tc>
          <w:tcPr>
            <w:tcW w:w="5520" w:type="dxa"/>
            <w:shd w:val="clear" w:color="auto" w:fill="FFFFFF"/>
            <w:vAlign w:val="center"/>
          </w:tcPr>
          <w:p>
            <w:pPr>
              <w:rPr>
                <w:kern w:val="0"/>
              </w:rPr>
            </w:pPr>
            <w:r>
              <w:rPr>
                <w:kern w:val="0"/>
              </w:rPr>
              <w:t>预防性维护：供方需提供预防性维护内容、维护周期表、设备完好状态和故障排除及维护方法。</w:t>
            </w:r>
          </w:p>
        </w:tc>
        <w:tc>
          <w:tcPr>
            <w:tcW w:w="6" w:type="dxa"/>
            <w:shd w:val="clear" w:color="auto" w:fill="FFFFFF"/>
          </w:tcPr>
          <w:p/>
        </w:tc>
        <w:tc>
          <w:tcPr>
            <w:tcW w:w="1466" w:type="dxa"/>
            <w:shd w:val="clear" w:color="auto" w:fill="FFFFFF"/>
          </w:tcPr>
          <w:p>
            <w:pPr>
              <w:rPr>
                <w:lang w:eastAsia="en-US"/>
              </w:rPr>
            </w:pPr>
            <w:r>
              <w:rPr>
                <w:lang w:eastAsia="en-US"/>
              </w:rPr>
              <w:t>必 需</w:t>
            </w:r>
          </w:p>
        </w:tc>
        <w:tc>
          <w:tcPr>
            <w:tcW w:w="1448" w:type="dxa"/>
            <w:shd w:val="clear" w:color="auto" w:fill="FFFFFF"/>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1296" w:type="dxa"/>
            <w:shd w:val="clear" w:color="auto" w:fill="FFFFFF"/>
          </w:tcPr>
          <w:p>
            <w:pPr>
              <w:rPr>
                <w:kern w:val="0"/>
                <w:lang w:eastAsia="en-US"/>
              </w:rPr>
            </w:pPr>
            <w:r>
              <w:rPr>
                <w:kern w:val="0"/>
                <w:lang w:eastAsia="en-US"/>
              </w:rPr>
              <w:t>URS05-14</w:t>
            </w:r>
          </w:p>
        </w:tc>
        <w:tc>
          <w:tcPr>
            <w:tcW w:w="5520" w:type="dxa"/>
            <w:shd w:val="clear" w:color="auto" w:fill="FFFFFF"/>
            <w:vAlign w:val="center"/>
          </w:tcPr>
          <w:p>
            <w:pPr>
              <w:rPr>
                <w:kern w:val="0"/>
              </w:rPr>
            </w:pPr>
            <w:r>
              <w:rPr>
                <w:kern w:val="0"/>
              </w:rPr>
              <w:t>配件变更：技术文件签约后，任何配件标准发生变化，供方应及时通知需方，变更在双方确认后方可执行。</w:t>
            </w:r>
          </w:p>
        </w:tc>
        <w:tc>
          <w:tcPr>
            <w:tcW w:w="6" w:type="dxa"/>
            <w:shd w:val="clear" w:color="auto" w:fill="FFFFFF"/>
          </w:tcPr>
          <w:p/>
        </w:tc>
        <w:tc>
          <w:tcPr>
            <w:tcW w:w="1466" w:type="dxa"/>
            <w:shd w:val="clear" w:color="auto" w:fill="FFFFFF"/>
          </w:tcPr>
          <w:p>
            <w:pPr>
              <w:rPr>
                <w:lang w:eastAsia="en-US"/>
              </w:rPr>
            </w:pPr>
            <w:r>
              <w:rPr>
                <w:lang w:eastAsia="en-US"/>
              </w:rPr>
              <w:t>必 需</w:t>
            </w:r>
          </w:p>
        </w:tc>
        <w:tc>
          <w:tcPr>
            <w:tcW w:w="1448" w:type="dxa"/>
            <w:shd w:val="clear" w:color="auto" w:fill="FFFFFF"/>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1296" w:type="dxa"/>
            <w:shd w:val="clear" w:color="auto" w:fill="FFFFFF"/>
          </w:tcPr>
          <w:p>
            <w:pPr>
              <w:rPr>
                <w:kern w:val="0"/>
                <w:lang w:eastAsia="en-US"/>
              </w:rPr>
            </w:pPr>
            <w:r>
              <w:rPr>
                <w:kern w:val="0"/>
                <w:lang w:eastAsia="en-US"/>
              </w:rPr>
              <w:t>URS05-15</w:t>
            </w:r>
          </w:p>
        </w:tc>
        <w:tc>
          <w:tcPr>
            <w:tcW w:w="5520" w:type="dxa"/>
            <w:shd w:val="clear" w:color="auto" w:fill="FFFFFF"/>
            <w:vAlign w:val="center"/>
          </w:tcPr>
          <w:p>
            <w:pPr>
              <w:rPr>
                <w:kern w:val="0"/>
              </w:rPr>
            </w:pPr>
            <w:r>
              <w:rPr>
                <w:kern w:val="0"/>
              </w:rPr>
              <w:t>主要部件：设备主要部件（压缩机、水泵</w:t>
            </w:r>
            <w:r>
              <w:t>等</w:t>
            </w:r>
            <w:r>
              <w:rPr>
                <w:kern w:val="0"/>
              </w:rPr>
              <w:t>）免费保修期限1年，</w:t>
            </w:r>
            <w:r>
              <w:t>供方承担质保期内免费维修</w:t>
            </w:r>
            <w:r>
              <w:rPr>
                <w:kern w:val="0"/>
              </w:rPr>
              <w:t>。</w:t>
            </w:r>
          </w:p>
        </w:tc>
        <w:tc>
          <w:tcPr>
            <w:tcW w:w="6" w:type="dxa"/>
            <w:shd w:val="clear" w:color="auto" w:fill="FFFFFF"/>
          </w:tcPr>
          <w:p/>
        </w:tc>
        <w:tc>
          <w:tcPr>
            <w:tcW w:w="1466" w:type="dxa"/>
            <w:shd w:val="clear" w:color="auto" w:fill="FFFFFF"/>
          </w:tcPr>
          <w:p>
            <w:pPr>
              <w:rPr>
                <w:lang w:eastAsia="en-US"/>
              </w:rPr>
            </w:pPr>
            <w:r>
              <w:rPr>
                <w:lang w:eastAsia="en-US"/>
              </w:rPr>
              <w:t>必 需</w:t>
            </w:r>
          </w:p>
        </w:tc>
        <w:tc>
          <w:tcPr>
            <w:tcW w:w="1448" w:type="dxa"/>
            <w:shd w:val="clear" w:color="auto" w:fill="FFFFFF"/>
          </w:tcPr>
          <w:p>
            <w:pPr>
              <w:rPr>
                <w:kern w:val="0"/>
                <w:lang w:eastAsia="en-US"/>
              </w:rPr>
            </w:pPr>
          </w:p>
        </w:tc>
      </w:tr>
    </w:tbl>
    <w:p>
      <w:pPr>
        <w:rPr>
          <w:kern w:val="0"/>
          <w:lang w:eastAsia="en-US"/>
        </w:rPr>
      </w:pPr>
    </w:p>
    <w:sectPr>
      <w:headerReference r:id="rId5" w:type="default"/>
      <w:pgSz w:w="11906" w:h="16838"/>
      <w:pgMar w:top="1418" w:right="1134" w:bottom="1134"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7"/>
      <w:gridCol w:w="2283"/>
      <w:gridCol w:w="1119"/>
      <w:gridCol w:w="1276"/>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restart"/>
          <w:vAlign w:val="center"/>
        </w:tcPr>
        <w:p>
          <w:pPr>
            <w:tabs>
              <w:tab w:val="center" w:pos="4320"/>
              <w:tab w:val="right" w:pos="8640"/>
            </w:tabs>
            <w:spacing w:line="240" w:lineRule="atLeast"/>
            <w:jc w:val="center"/>
            <w:rPr>
              <w:b/>
            </w:rPr>
          </w:pPr>
          <w:r>
            <w:drawing>
              <wp:inline distT="0" distB="0" distL="0" distR="0">
                <wp:extent cx="695325" cy="695325"/>
                <wp:effectExtent l="19050" t="0" r="9525" b="0"/>
                <wp:docPr id="1" name="图片 1" descr="181_214702538118_20180718114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81_214702538118_20180718114400"/>
                        <pic:cNvPicPr>
                          <a:picLocks noChangeAspect="1" noChangeArrowheads="1"/>
                        </pic:cNvPicPr>
                      </pic:nvPicPr>
                      <pic:blipFill>
                        <a:blip r:embed="rId1"/>
                        <a:srcRect/>
                        <a:stretch>
                          <a:fillRect/>
                        </a:stretch>
                      </pic:blipFill>
                      <pic:spPr>
                        <a:xfrm>
                          <a:off x="0" y="0"/>
                          <a:ext cx="695325" cy="695325"/>
                        </a:xfrm>
                        <a:prstGeom prst="rect">
                          <a:avLst/>
                        </a:prstGeom>
                        <a:noFill/>
                        <a:ln w="9525">
                          <a:noFill/>
                          <a:miter lim="800000"/>
                          <a:headEnd/>
                          <a:tailEnd/>
                        </a:ln>
                      </pic:spPr>
                    </pic:pic>
                  </a:graphicData>
                </a:graphic>
              </wp:inline>
            </w:drawing>
          </w:r>
        </w:p>
      </w:tc>
      <w:tc>
        <w:tcPr>
          <w:tcW w:w="2283" w:type="dxa"/>
          <w:vAlign w:val="center"/>
        </w:tcPr>
        <w:p>
          <w:pPr>
            <w:pStyle w:val="20"/>
            <w:ind w:left="360"/>
            <w:rPr>
              <w:rFonts w:ascii="宋体" w:hAnsi="宋体"/>
              <w:lang w:eastAsia="zh-CN"/>
            </w:rPr>
          </w:pPr>
          <w:r>
            <w:rPr>
              <w:rFonts w:ascii="宋体" w:hAnsi="宋体"/>
            </w:rPr>
            <w:t>文件编</w:t>
          </w:r>
          <w:r>
            <w:rPr>
              <w:rFonts w:hint="eastAsia" w:ascii="宋体" w:hAnsi="宋体"/>
              <w:lang w:eastAsia="zh-CN"/>
            </w:rPr>
            <w:t>号</w:t>
          </w:r>
        </w:p>
      </w:tc>
      <w:tc>
        <w:tcPr>
          <w:tcW w:w="4999" w:type="dxa"/>
          <w:gridSpan w:val="3"/>
          <w:vAlign w:val="center"/>
        </w:tcPr>
        <w:p>
          <w:pPr>
            <w:pStyle w:val="5"/>
            <w:ind w:left="480" w:hanging="480"/>
            <w:rPr>
              <w:rFonts w:hint="default" w:eastAsia="宋体"/>
              <w:sz w:val="24"/>
              <w:szCs w:val="24"/>
              <w:lang w:val="en-US" w:eastAsia="zh-CN"/>
            </w:rPr>
          </w:pPr>
          <w:r>
            <w:rPr>
              <w:rFonts w:hint="eastAsia" w:cs="宋体"/>
              <w:sz w:val="24"/>
              <w:szCs w:val="24"/>
            </w:rPr>
            <w:t>文件编号：</w:t>
          </w:r>
          <w:r>
            <w:rPr>
              <w:sz w:val="24"/>
              <w:szCs w:val="24"/>
            </w:rPr>
            <w:t>URS-202</w:t>
          </w:r>
          <w:r>
            <w:rPr>
              <w:rFonts w:hint="eastAsia"/>
              <w:sz w:val="24"/>
              <w:szCs w:val="24"/>
            </w:rPr>
            <w:t>4</w:t>
          </w:r>
          <w:r>
            <w:rPr>
              <w:sz w:val="24"/>
              <w:szCs w:val="24"/>
            </w:rPr>
            <w:t>-</w:t>
          </w:r>
          <w:r>
            <w:rPr>
              <w:rFonts w:hint="eastAsia"/>
              <w:sz w:val="24"/>
              <w:szCs w:val="24"/>
              <w:lang w:val="en-US" w:eastAsia="zh-CN"/>
            </w:rPr>
            <w:t>0111-7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continue"/>
          <w:vAlign w:val="center"/>
        </w:tcPr>
        <w:p>
          <w:pPr>
            <w:pStyle w:val="20"/>
            <w:ind w:left="360" w:firstLine="562"/>
            <w:rPr>
              <w:rFonts w:ascii="宋体" w:hAnsi="宋体"/>
              <w:b/>
            </w:rPr>
          </w:pPr>
        </w:p>
      </w:tc>
      <w:tc>
        <w:tcPr>
          <w:tcW w:w="2283" w:type="dxa"/>
          <w:vAlign w:val="center"/>
        </w:tcPr>
        <w:p>
          <w:pPr>
            <w:pStyle w:val="20"/>
            <w:ind w:left="266" w:leftChars="111" w:firstLine="170" w:firstLineChars="71"/>
            <w:rPr>
              <w:rFonts w:ascii="宋体" w:hAnsi="宋体"/>
            </w:rPr>
          </w:pPr>
          <w:r>
            <w:rPr>
              <w:rFonts w:ascii="宋体" w:hAnsi="宋体"/>
            </w:rPr>
            <w:t>文件名称</w:t>
          </w:r>
        </w:p>
      </w:tc>
      <w:tc>
        <w:tcPr>
          <w:tcW w:w="4999" w:type="dxa"/>
          <w:gridSpan w:val="3"/>
          <w:vAlign w:val="center"/>
        </w:tcPr>
        <w:p>
          <w:pPr>
            <w:pStyle w:val="20"/>
            <w:rPr>
              <w:rFonts w:ascii="宋体" w:hAnsi="宋体"/>
              <w:bCs/>
              <w:lang w:eastAsia="zh-CN"/>
            </w:rPr>
          </w:pPr>
          <w:r>
            <w:rPr>
              <w:lang w:eastAsia="zh-CN"/>
            </w:rPr>
            <w:t>一体化水冷式冷水机组</w:t>
          </w:r>
          <w:r>
            <w:rPr>
              <w:rFonts w:hint="eastAsia" w:ascii="宋体" w:hAnsi="宋体"/>
              <w:bCs/>
              <w:lang w:eastAsia="zh-CN"/>
            </w:rPr>
            <w:t>用户需求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continue"/>
          <w:vAlign w:val="center"/>
        </w:tcPr>
        <w:p>
          <w:pPr>
            <w:pStyle w:val="20"/>
            <w:ind w:left="360" w:firstLine="562"/>
            <w:rPr>
              <w:rFonts w:ascii="宋体" w:hAnsi="宋体"/>
              <w:b/>
              <w:lang w:eastAsia="zh-CN"/>
            </w:rPr>
          </w:pPr>
        </w:p>
      </w:tc>
      <w:tc>
        <w:tcPr>
          <w:tcW w:w="2283" w:type="dxa"/>
          <w:vAlign w:val="center"/>
        </w:tcPr>
        <w:p>
          <w:pPr>
            <w:pStyle w:val="20"/>
            <w:ind w:left="266" w:leftChars="111" w:firstLine="170" w:firstLineChars="71"/>
            <w:rPr>
              <w:rFonts w:ascii="宋体" w:hAnsi="宋体"/>
            </w:rPr>
          </w:pPr>
          <w:r>
            <w:rPr>
              <w:rFonts w:hint="eastAsia" w:ascii="宋体" w:hAnsi="宋体"/>
            </w:rPr>
            <w:t>文件</w:t>
          </w:r>
          <w:r>
            <w:rPr>
              <w:rFonts w:ascii="宋体" w:hAnsi="宋体"/>
            </w:rPr>
            <w:t>版本</w:t>
          </w:r>
        </w:p>
      </w:tc>
      <w:tc>
        <w:tcPr>
          <w:tcW w:w="1119" w:type="dxa"/>
          <w:vAlign w:val="center"/>
        </w:tcPr>
        <w:p>
          <w:pPr>
            <w:pStyle w:val="20"/>
            <w:ind w:left="266" w:leftChars="111" w:firstLine="170" w:firstLineChars="71"/>
            <w:rPr>
              <w:rFonts w:ascii="宋体" w:hAnsi="宋体"/>
            </w:rPr>
          </w:pPr>
          <w:r>
            <w:rPr>
              <w:rFonts w:hint="eastAsia" w:ascii="宋体" w:hAnsi="宋体"/>
            </w:rPr>
            <w:t>0</w:t>
          </w:r>
          <w:r>
            <w:rPr>
              <w:rFonts w:ascii="宋体" w:hAnsi="宋体"/>
            </w:rPr>
            <w:t>1</w:t>
          </w:r>
        </w:p>
      </w:tc>
      <w:tc>
        <w:tcPr>
          <w:tcW w:w="1276" w:type="dxa"/>
          <w:vAlign w:val="center"/>
        </w:tcPr>
        <w:p>
          <w:pPr>
            <w:pStyle w:val="20"/>
            <w:ind w:left="360"/>
            <w:rPr>
              <w:rFonts w:ascii="宋体" w:hAnsi="宋体"/>
            </w:rPr>
          </w:pPr>
          <w:r>
            <w:rPr>
              <w:rFonts w:ascii="宋体" w:hAnsi="宋体"/>
            </w:rPr>
            <w:t>页码</w:t>
          </w:r>
        </w:p>
      </w:tc>
      <w:tc>
        <w:tcPr>
          <w:tcW w:w="2604" w:type="dxa"/>
          <w:vAlign w:val="center"/>
        </w:tcPr>
        <w:p>
          <w:pPr>
            <w:pStyle w:val="20"/>
            <w:ind w:left="266" w:leftChars="111"/>
            <w:rPr>
              <w:rFonts w:ascii="宋体" w:hAnsi="宋体"/>
            </w:rPr>
          </w:pPr>
          <w:r>
            <w:rPr>
              <w:rFonts w:ascii="宋体" w:hAnsi="宋体"/>
            </w:rPr>
            <w:t>第</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3</w:t>
          </w:r>
          <w:r>
            <w:rPr>
              <w:rFonts w:ascii="宋体" w:hAnsi="宋体"/>
            </w:rPr>
            <w:fldChar w:fldCharType="end"/>
          </w:r>
          <w:r>
            <w:rPr>
              <w:rFonts w:ascii="宋体" w:hAnsi="宋体"/>
            </w:rPr>
            <w:t>页，共</w:t>
          </w:r>
          <w:r>
            <w:fldChar w:fldCharType="begin"/>
          </w:r>
          <w:r>
            <w:instrText xml:space="preserve">NUMPAGES  \* Arabic  \* MERGEFORMAT</w:instrText>
          </w:r>
          <w:r>
            <w:fldChar w:fldCharType="separate"/>
          </w:r>
          <w:r>
            <w:rPr>
              <w:rFonts w:ascii="宋体" w:hAnsi="宋体"/>
              <w:bCs/>
              <w:lang w:val="zh-CN"/>
            </w:rPr>
            <w:t>15</w:t>
          </w:r>
          <w:r>
            <w:rPr>
              <w:rFonts w:ascii="宋体" w:hAnsi="宋体"/>
              <w:bCs/>
              <w:lang w:val="zh-CN"/>
            </w:rPr>
            <w:fldChar w:fldCharType="end"/>
          </w:r>
          <w:r>
            <w:rPr>
              <w:rFonts w:ascii="宋体" w:hAnsi="宋体"/>
            </w:rPr>
            <w:t>页</w:t>
          </w:r>
        </w:p>
      </w:tc>
    </w:tr>
  </w:tbl>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4NjM2Yjk5ZTI0YmMwZmI3YTg5YTM2N2EyNjI3OWUifQ=="/>
    <w:docVar w:name="KSO_WPS_MARK_KEY" w:val="5f8f2dc7-53a5-4b68-8d89-ec93186ec1fd"/>
  </w:docVars>
  <w:rsids>
    <w:rsidRoot w:val="00D35CF2"/>
    <w:rsid w:val="00185B7B"/>
    <w:rsid w:val="003F43A1"/>
    <w:rsid w:val="00781C7F"/>
    <w:rsid w:val="00A03DA3"/>
    <w:rsid w:val="00B21B1F"/>
    <w:rsid w:val="00C02CBD"/>
    <w:rsid w:val="00C302EB"/>
    <w:rsid w:val="00CE3CF2"/>
    <w:rsid w:val="00D35CF2"/>
    <w:rsid w:val="00D920B3"/>
    <w:rsid w:val="00D97B62"/>
    <w:rsid w:val="00DC50A7"/>
    <w:rsid w:val="00E24FE9"/>
    <w:rsid w:val="00EC2072"/>
    <w:rsid w:val="00ED397C"/>
    <w:rsid w:val="073E518E"/>
    <w:rsid w:val="074D53D1"/>
    <w:rsid w:val="0A051F93"/>
    <w:rsid w:val="1AF5570C"/>
    <w:rsid w:val="285223EF"/>
    <w:rsid w:val="2CB5119F"/>
    <w:rsid w:val="48934632"/>
    <w:rsid w:val="4B306168"/>
    <w:rsid w:val="4F1354E5"/>
    <w:rsid w:val="50F47C38"/>
    <w:rsid w:val="575907F5"/>
    <w:rsid w:val="583A7EAE"/>
    <w:rsid w:val="598D29D8"/>
    <w:rsid w:val="5B062A42"/>
    <w:rsid w:val="5B5F7A7D"/>
    <w:rsid w:val="5B6339F0"/>
    <w:rsid w:val="65AE61B0"/>
    <w:rsid w:val="69F12B0F"/>
    <w:rsid w:val="76C133B9"/>
    <w:rsid w:val="785250C1"/>
    <w:rsid w:val="7B0A3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imes New Roman"/>
      <w:kern w:val="28"/>
      <w:sz w:val="24"/>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Plain Text"/>
    <w:basedOn w:val="1"/>
    <w:link w:val="23"/>
    <w:unhideWhenUsed/>
    <w:qFormat/>
    <w:uiPriority w:val="99"/>
    <w:pPr>
      <w:widowControl w:val="0"/>
      <w:spacing w:line="240" w:lineRule="auto"/>
      <w:jc w:val="both"/>
    </w:pPr>
    <w:rPr>
      <w:rFonts w:hAnsi="Courier New" w:cs="Courier New"/>
      <w:kern w:val="2"/>
      <w:sz w:val="21"/>
      <w:szCs w:val="21"/>
    </w:rPr>
  </w:style>
  <w:style w:type="paragraph" w:styleId="3">
    <w:name w:val="Balloon Text"/>
    <w:basedOn w:val="1"/>
    <w:link w:val="22"/>
    <w:semiHidden/>
    <w:unhideWhenUsed/>
    <w:uiPriority w:val="99"/>
    <w:pPr>
      <w:spacing w:line="240" w:lineRule="auto"/>
    </w:pPr>
    <w:rPr>
      <w:sz w:val="18"/>
      <w:szCs w:val="18"/>
    </w:rPr>
  </w:style>
  <w:style w:type="paragraph" w:styleId="4">
    <w:name w:val="footer"/>
    <w:basedOn w:val="1"/>
    <w:link w:val="18"/>
    <w:unhideWhenUsed/>
    <w:uiPriority w:val="99"/>
    <w:pPr>
      <w:tabs>
        <w:tab w:val="center" w:pos="4153"/>
        <w:tab w:val="right" w:pos="8306"/>
      </w:tabs>
      <w:snapToGrid w:val="0"/>
      <w:spacing w:line="240" w:lineRule="auto"/>
    </w:pPr>
    <w:rPr>
      <w:sz w:val="18"/>
      <w:szCs w:val="18"/>
    </w:rPr>
  </w:style>
  <w:style w:type="paragraph" w:styleId="5">
    <w:name w:val="header"/>
    <w:basedOn w:val="1"/>
    <w:link w:val="17"/>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Subtitle"/>
    <w:basedOn w:val="1"/>
    <w:next w:val="1"/>
    <w:link w:val="10"/>
    <w:qFormat/>
    <w:uiPriority w:val="11"/>
    <w:pPr>
      <w:spacing w:line="460" w:lineRule="exact"/>
      <w:ind w:left="200" w:leftChars="200" w:firstLine="200" w:firstLineChars="200"/>
    </w:pPr>
    <w:rPr>
      <w:rFonts w:ascii="Cambria" w:hAnsi="Cambria"/>
      <w:bCs/>
      <w:spacing w:val="20"/>
      <w:szCs w:val="32"/>
      <w:lang w:val="en-GB" w:eastAsia="de-DE"/>
    </w:rPr>
  </w:style>
  <w:style w:type="paragraph" w:styleId="7">
    <w:name w:val="Title"/>
    <w:basedOn w:val="1"/>
    <w:next w:val="1"/>
    <w:link w:val="11"/>
    <w:qFormat/>
    <w:uiPriority w:val="10"/>
    <w:pPr>
      <w:spacing w:before="240" w:after="60"/>
      <w:outlineLvl w:val="0"/>
    </w:pPr>
    <w:rPr>
      <w:rFonts w:ascii="Calibri Light" w:hAnsi="Calibri Light"/>
      <w:b/>
      <w:bCs/>
      <w:sz w:val="32"/>
      <w:szCs w:val="32"/>
    </w:rPr>
  </w:style>
  <w:style w:type="character" w:customStyle="1" w:styleId="10">
    <w:name w:val="副标题 字符"/>
    <w:basedOn w:val="9"/>
    <w:link w:val="6"/>
    <w:qFormat/>
    <w:uiPriority w:val="11"/>
    <w:rPr>
      <w:rFonts w:ascii="Cambria" w:hAnsi="Cambria" w:eastAsia="宋体" w:cs="Times New Roman"/>
      <w:bCs/>
      <w:spacing w:val="20"/>
      <w:kern w:val="28"/>
      <w:sz w:val="24"/>
      <w:szCs w:val="32"/>
      <w:lang w:val="en-GB" w:eastAsia="de-DE"/>
    </w:rPr>
  </w:style>
  <w:style w:type="character" w:customStyle="1" w:styleId="11">
    <w:name w:val="标题 字符"/>
    <w:basedOn w:val="9"/>
    <w:link w:val="7"/>
    <w:qFormat/>
    <w:uiPriority w:val="10"/>
    <w:rPr>
      <w:rFonts w:ascii="Calibri Light" w:hAnsi="Calibri Light" w:eastAsia="宋体" w:cs="Times New Roman"/>
      <w:b/>
      <w:bCs/>
      <w:kern w:val="28"/>
      <w:sz w:val="32"/>
      <w:szCs w:val="32"/>
    </w:rPr>
  </w:style>
  <w:style w:type="character" w:customStyle="1" w:styleId="12">
    <w:name w:val="NormalCharacter"/>
    <w:qFormat/>
    <w:uiPriority w:val="0"/>
    <w:rPr>
      <w:rFonts w:ascii="Times New Roman" w:hAnsi="Times New Roman" w:eastAsia="Verdana" w:cs="Times New Roman"/>
      <w:kern w:val="2"/>
      <w:sz w:val="18"/>
      <w:lang w:val="en-US" w:eastAsia="zh-CN" w:bidi="ar-SA"/>
    </w:rPr>
  </w:style>
  <w:style w:type="paragraph" w:customStyle="1" w:styleId="13">
    <w:name w:val="Heading2"/>
    <w:basedOn w:val="1"/>
    <w:next w:val="1"/>
    <w:qFormat/>
    <w:uiPriority w:val="0"/>
    <w:pPr>
      <w:keepNext/>
      <w:keepLines/>
      <w:ind w:firstLine="100" w:firstLineChars="100"/>
      <w:textAlignment w:val="baseline"/>
    </w:pPr>
    <w:rPr>
      <w:rFonts w:ascii="Cambria" w:hAnsi="Cambria"/>
      <w:b/>
      <w:bCs/>
      <w:szCs w:val="32"/>
    </w:rPr>
  </w:style>
  <w:style w:type="paragraph" w:customStyle="1" w:styleId="14">
    <w:name w:val="UserStyle_13"/>
    <w:basedOn w:val="1"/>
    <w:qFormat/>
    <w:uiPriority w:val="0"/>
    <w:pPr>
      <w:ind w:firstLine="200" w:firstLineChars="200"/>
      <w:textAlignment w:val="baseline"/>
    </w:pPr>
  </w:style>
  <w:style w:type="paragraph" w:customStyle="1" w:styleId="15">
    <w:name w:val="UserStyle_14"/>
    <w:basedOn w:val="1"/>
    <w:qFormat/>
    <w:uiPriority w:val="0"/>
    <w:pPr>
      <w:textAlignment w:val="baseline"/>
    </w:pPr>
    <w:rPr>
      <w:rFonts w:ascii="Arial" w:hAnsi="Arial"/>
      <w:kern w:val="0"/>
      <w:sz w:val="44"/>
      <w:szCs w:val="44"/>
      <w:lang w:val="en-GB" w:eastAsia="de-DE"/>
    </w:rPr>
  </w:style>
  <w:style w:type="paragraph" w:customStyle="1" w:styleId="16">
    <w:name w:val="列出段落2"/>
    <w:basedOn w:val="1"/>
    <w:qFormat/>
    <w:uiPriority w:val="34"/>
    <w:pPr>
      <w:widowControl w:val="0"/>
      <w:spacing w:line="240" w:lineRule="auto"/>
      <w:ind w:firstLine="420" w:firstLineChars="200"/>
      <w:jc w:val="both"/>
    </w:pPr>
    <w:rPr>
      <w:rFonts w:ascii="Times New Roman" w:hAnsi="Times New Roman"/>
      <w:kern w:val="2"/>
      <w:sz w:val="21"/>
    </w:rPr>
  </w:style>
  <w:style w:type="character" w:customStyle="1" w:styleId="17">
    <w:name w:val="页眉 字符1"/>
    <w:basedOn w:val="9"/>
    <w:link w:val="5"/>
    <w:semiHidden/>
    <w:uiPriority w:val="99"/>
    <w:rPr>
      <w:rFonts w:ascii="宋体" w:hAnsi="宋体" w:eastAsia="宋体" w:cs="Times New Roman"/>
      <w:kern w:val="28"/>
      <w:sz w:val="18"/>
      <w:szCs w:val="18"/>
    </w:rPr>
  </w:style>
  <w:style w:type="character" w:customStyle="1" w:styleId="18">
    <w:name w:val="页脚 字符"/>
    <w:basedOn w:val="9"/>
    <w:link w:val="4"/>
    <w:uiPriority w:val="99"/>
    <w:rPr>
      <w:rFonts w:ascii="宋体" w:hAnsi="宋体" w:eastAsia="宋体" w:cs="Times New Roman"/>
      <w:kern w:val="28"/>
      <w:sz w:val="18"/>
      <w:szCs w:val="18"/>
    </w:rPr>
  </w:style>
  <w:style w:type="character" w:customStyle="1" w:styleId="19">
    <w:name w:val="页眉 字符"/>
    <w:uiPriority w:val="0"/>
    <w:rPr>
      <w:sz w:val="24"/>
      <w:lang w:eastAsia="en-US"/>
    </w:rPr>
  </w:style>
  <w:style w:type="paragraph" w:styleId="20">
    <w:name w:val="No Spacing"/>
    <w:link w:val="21"/>
    <w:qFormat/>
    <w:uiPriority w:val="1"/>
    <w:rPr>
      <w:rFonts w:ascii="Calibri" w:hAnsi="Calibri" w:eastAsia="宋体" w:cs="Times New Roman"/>
      <w:kern w:val="0"/>
      <w:sz w:val="24"/>
      <w:szCs w:val="24"/>
      <w:lang w:val="en-US" w:eastAsia="en-US" w:bidi="en-US"/>
    </w:rPr>
  </w:style>
  <w:style w:type="character" w:customStyle="1" w:styleId="21">
    <w:name w:val="无间隔 字符"/>
    <w:link w:val="20"/>
    <w:qFormat/>
    <w:uiPriority w:val="1"/>
    <w:rPr>
      <w:rFonts w:ascii="Calibri" w:hAnsi="Calibri" w:eastAsia="宋体" w:cs="Times New Roman"/>
      <w:kern w:val="0"/>
      <w:sz w:val="24"/>
      <w:szCs w:val="24"/>
      <w:lang w:eastAsia="en-US" w:bidi="en-US"/>
    </w:rPr>
  </w:style>
  <w:style w:type="character" w:customStyle="1" w:styleId="22">
    <w:name w:val="批注框文本 字符"/>
    <w:basedOn w:val="9"/>
    <w:link w:val="3"/>
    <w:semiHidden/>
    <w:uiPriority w:val="99"/>
    <w:rPr>
      <w:rFonts w:ascii="宋体" w:hAnsi="宋体" w:eastAsia="宋体" w:cs="Times New Roman"/>
      <w:kern w:val="28"/>
      <w:sz w:val="18"/>
      <w:szCs w:val="18"/>
    </w:rPr>
  </w:style>
  <w:style w:type="character" w:customStyle="1" w:styleId="23">
    <w:name w:val="纯文本 字符"/>
    <w:basedOn w:val="9"/>
    <w:link w:val="2"/>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6661</Words>
  <Characters>8038</Characters>
  <Lines>61</Lines>
  <Paragraphs>17</Paragraphs>
  <TotalTime>4</TotalTime>
  <ScaleCrop>false</ScaleCrop>
  <LinksUpToDate>false</LinksUpToDate>
  <CharactersWithSpaces>8125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2024-01-09T08:11:00Z</dcterms:created>
  <dc:creator>徐卓</dc:creator>
  <cp:lastModifiedBy>雪狼</cp:lastModifiedBy>
  <dcterms:modified xsi:type="dcterms:W3CDTF">2024-01-11T04:15:04Z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5688A5DE478840AA9A7A447C503B9AC9_12</vt:lpwstr>
  </property>
</Properties>
</file>