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textAlignment w:val="center"/>
        <w:rPr>
          <w:rFonts w:ascii="Calibri" w:hAnsi="Calibri" w:cs="Calibri"/>
          <w:b/>
          <w:bCs/>
          <w:color w:val="000000"/>
          <w:kern w:val="0"/>
          <w:sz w:val="30"/>
          <w:szCs w:val="30"/>
          <w:lang w:bidi="ar"/>
        </w:rPr>
      </w:pPr>
      <w:r>
        <w:rPr>
          <w:rFonts w:hint="eastAsia"/>
          <w:b/>
          <w:bCs/>
          <w:sz w:val="30"/>
          <w:szCs w:val="30"/>
        </w:rPr>
        <w:t>气相色谱-质谱联用仪用户需求</w:t>
      </w:r>
    </w:p>
    <w:p>
      <w:pPr>
        <w:widowControl/>
        <w:textAlignment w:val="center"/>
        <w:rPr>
          <w:rFonts w:ascii="Calibri" w:hAnsi="Calibri" w:eastAsia="宋体" w:cs="Calibri"/>
          <w:b/>
          <w:color w:val="000000"/>
          <w:kern w:val="0"/>
          <w:sz w:val="24"/>
          <w:lang w:bidi="ar"/>
        </w:rPr>
      </w:pPr>
    </w:p>
    <w:tbl>
      <w:tblPr>
        <w:tblStyle w:val="3"/>
        <w:tblW w:w="4989" w:type="pct"/>
        <w:tblInd w:w="0" w:type="dxa"/>
        <w:tblLayout w:type="autofit"/>
        <w:tblCellMar>
          <w:top w:w="0" w:type="dxa"/>
          <w:left w:w="0" w:type="dxa"/>
          <w:bottom w:w="0" w:type="dxa"/>
          <w:right w:w="0" w:type="dxa"/>
        </w:tblCellMar>
      </w:tblPr>
      <w:tblGrid>
        <w:gridCol w:w="1028"/>
        <w:gridCol w:w="5823"/>
        <w:gridCol w:w="785"/>
        <w:gridCol w:w="1638"/>
      </w:tblGrid>
      <w:tr>
        <w:tblPrEx>
          <w:tblCellMar>
            <w:top w:w="0" w:type="dxa"/>
            <w:left w:w="0" w:type="dxa"/>
            <w:bottom w:w="0" w:type="dxa"/>
            <w:right w:w="0" w:type="dxa"/>
          </w:tblCellMar>
        </w:tblPrEx>
        <w:trPr>
          <w:trHeight w:val="615" w:hRule="atLeast"/>
        </w:trPr>
        <w:tc>
          <w:tcPr>
            <w:tcW w:w="554" w:type="pct"/>
            <w:tcBorders>
              <w:top w:val="single" w:color="000000" w:sz="8" w:space="0"/>
              <w:left w:val="single" w:color="000000" w:sz="8" w:space="0"/>
              <w:bottom w:val="single" w:color="000000" w:sz="8" w:space="0"/>
              <w:right w:val="single" w:color="000000" w:sz="8" w:space="0"/>
            </w:tcBorders>
            <w:shd w:val="clear" w:color="auto" w:fill="D9D9D9"/>
            <w:tcMar>
              <w:top w:w="15" w:type="dxa"/>
              <w:left w:w="15" w:type="dxa"/>
              <w:right w:w="15" w:type="dxa"/>
            </w:tcMar>
            <w:vAlign w:val="center"/>
          </w:tcPr>
          <w:p>
            <w:pPr>
              <w:widowControl/>
              <w:jc w:val="center"/>
              <w:textAlignment w:val="center"/>
              <w:rPr>
                <w:rFonts w:ascii="Calibri" w:hAnsi="Calibri" w:eastAsia="宋体" w:cs="Calibri"/>
                <w:b/>
                <w:color w:val="000000"/>
                <w:kern w:val="0"/>
                <w:sz w:val="24"/>
                <w:lang w:bidi="ar"/>
              </w:rPr>
            </w:pPr>
          </w:p>
          <w:p>
            <w:pPr>
              <w:widowControl/>
              <w:jc w:val="center"/>
              <w:textAlignment w:val="center"/>
              <w:rPr>
                <w:rFonts w:ascii="Calibri" w:hAnsi="Calibri" w:eastAsia="宋体" w:cs="Calibri"/>
                <w:b/>
                <w:color w:val="000000"/>
                <w:sz w:val="24"/>
              </w:rPr>
            </w:pPr>
            <w:r>
              <w:rPr>
                <w:rFonts w:ascii="Calibri" w:hAnsi="Calibri" w:eastAsia="宋体" w:cs="Calibri"/>
                <w:b/>
                <w:color w:val="000000"/>
                <w:kern w:val="0"/>
                <w:sz w:val="24"/>
                <w:lang w:bidi="ar"/>
              </w:rPr>
              <w:t>编号</w:t>
            </w:r>
          </w:p>
        </w:tc>
        <w:tc>
          <w:tcPr>
            <w:tcW w:w="3139" w:type="pct"/>
            <w:tcBorders>
              <w:top w:val="single" w:color="000000" w:sz="8" w:space="0"/>
              <w:left w:val="nil"/>
              <w:bottom w:val="single" w:color="000000" w:sz="8" w:space="0"/>
              <w:right w:val="single" w:color="000000" w:sz="8" w:space="0"/>
            </w:tcBorders>
            <w:shd w:val="clear" w:color="auto" w:fill="D9D9D9"/>
            <w:tcMar>
              <w:top w:w="15" w:type="dxa"/>
              <w:left w:w="15" w:type="dxa"/>
              <w:right w:w="15" w:type="dxa"/>
            </w:tcMar>
            <w:vAlign w:val="center"/>
          </w:tcPr>
          <w:p>
            <w:pPr>
              <w:widowControl/>
              <w:jc w:val="left"/>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需求描述</w:t>
            </w:r>
          </w:p>
        </w:tc>
        <w:tc>
          <w:tcPr>
            <w:tcW w:w="423" w:type="pct"/>
            <w:tcBorders>
              <w:top w:val="single" w:color="000000" w:sz="8" w:space="0"/>
              <w:left w:val="nil"/>
              <w:bottom w:val="single" w:color="000000" w:sz="8" w:space="0"/>
              <w:right w:val="single" w:color="000000" w:sz="8" w:space="0"/>
            </w:tcBorders>
            <w:shd w:val="clear" w:color="auto" w:fill="D9D9D9"/>
            <w:tcMar>
              <w:top w:w="15" w:type="dxa"/>
              <w:left w:w="15" w:type="dxa"/>
              <w:right w:w="15" w:type="dxa"/>
            </w:tcMar>
            <w:vAlign w:val="center"/>
          </w:tcPr>
          <w:p>
            <w:pPr>
              <w:widowControl/>
              <w:jc w:val="center"/>
              <w:textAlignment w:val="center"/>
              <w:rPr>
                <w:rFonts w:ascii="Calibri" w:hAnsi="Calibri" w:eastAsia="宋体" w:cs="Calibri"/>
                <w:b/>
                <w:color w:val="000000"/>
                <w:sz w:val="24"/>
              </w:rPr>
            </w:pPr>
            <w:r>
              <w:rPr>
                <w:rFonts w:ascii="Calibri" w:hAnsi="Calibri" w:eastAsia="宋体" w:cs="Calibri"/>
                <w:b/>
                <w:color w:val="000000"/>
                <w:kern w:val="0"/>
                <w:sz w:val="24"/>
                <w:lang w:bidi="ar"/>
              </w:rPr>
              <w:t>必需/</w:t>
            </w:r>
            <w:r>
              <w:rPr>
                <w:rFonts w:hint="eastAsia" w:ascii="宋体" w:hAnsi="宋体" w:eastAsia="宋体" w:cs="宋体"/>
                <w:b/>
                <w:color w:val="000000"/>
                <w:kern w:val="0"/>
                <w:sz w:val="24"/>
                <w:lang w:bidi="ar"/>
              </w:rPr>
              <w:t>期望</w:t>
            </w:r>
          </w:p>
        </w:tc>
        <w:tc>
          <w:tcPr>
            <w:tcW w:w="883" w:type="pct"/>
            <w:tcBorders>
              <w:top w:val="single" w:color="000000" w:sz="8" w:space="0"/>
              <w:left w:val="nil"/>
              <w:bottom w:val="single" w:color="000000" w:sz="8" w:space="0"/>
              <w:right w:val="single" w:color="000000" w:sz="8" w:space="0"/>
            </w:tcBorders>
            <w:shd w:val="clear" w:color="auto" w:fill="D9D9D9"/>
            <w:tcMar>
              <w:top w:w="15" w:type="dxa"/>
              <w:left w:w="15" w:type="dxa"/>
              <w:right w:w="15" w:type="dxa"/>
            </w:tcMar>
            <w:vAlign w:val="center"/>
          </w:tcPr>
          <w:p>
            <w:pPr>
              <w:widowControl/>
              <w:jc w:val="center"/>
              <w:textAlignment w:val="center"/>
              <w:rPr>
                <w:rFonts w:hint="eastAsia" w:ascii="宋体" w:hAnsi="宋体" w:eastAsia="宋体" w:cs="宋体"/>
                <w:b/>
                <w:color w:val="000000"/>
                <w:sz w:val="24"/>
                <w:lang w:eastAsia="zh-CN"/>
              </w:rPr>
            </w:pPr>
            <w:r>
              <w:rPr>
                <w:rFonts w:hint="eastAsia" w:ascii="宋体" w:hAnsi="宋体" w:eastAsia="宋体" w:cs="宋体"/>
                <w:b/>
                <w:color w:val="000000"/>
                <w:kern w:val="0"/>
                <w:sz w:val="24"/>
                <w:lang w:bidi="ar"/>
              </w:rPr>
              <w:t>响应</w:t>
            </w:r>
            <w:r>
              <w:rPr>
                <w:rFonts w:hint="eastAsia" w:ascii="宋体" w:hAnsi="宋体" w:eastAsia="宋体" w:cs="宋体"/>
                <w:b/>
                <w:color w:val="000000"/>
                <w:kern w:val="0"/>
                <w:sz w:val="24"/>
                <w:lang w:eastAsia="zh-CN" w:bidi="ar"/>
              </w:rPr>
              <w:t>及回复</w:t>
            </w: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b/>
                <w:bCs/>
                <w:color w:val="333333"/>
                <w:kern w:val="0"/>
                <w:szCs w:val="21"/>
                <w:highlight w:val="yellow"/>
                <w:lang w:bidi="ar"/>
              </w:rPr>
              <w:t>气相色谱仪主机1套</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highlight w:val="cyan"/>
                <w:lang w:bidi="ar"/>
              </w:rPr>
              <w:t>柱箱</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URS-01</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操作温度范围：室温以上5℃～450℃</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URS-02</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标配柱箱最高升温速率： 120℃/min，以0.01℃/min增加</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URS-03</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温度设定精度：0.1℃</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URS-04</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控温准确性：0.01℃</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729"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URS-05</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温度稳定性：周围温度每变化1℃，柱温箱温度变化小于0.01℃</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URS-06</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冷却速度：从 450 降到 50℃</w:t>
            </w:r>
            <w:r>
              <w:rPr>
                <w:rFonts w:hint="eastAsia" w:ascii="宋体" w:hAnsi="宋体" w:eastAsia="宋体" w:cs="宋体"/>
                <w:color w:val="auto"/>
                <w:kern w:val="0"/>
                <w:szCs w:val="21"/>
                <w:lang w:bidi="ar"/>
              </w:rPr>
              <w:t xml:space="preserve"> ≤4</w:t>
            </w:r>
            <w:r>
              <w:rPr>
                <w:rFonts w:ascii="宋体" w:hAnsi="宋体" w:eastAsia="宋体" w:cs="宋体"/>
                <w:color w:val="auto"/>
                <w:kern w:val="0"/>
                <w:szCs w:val="21"/>
                <w:lang w:bidi="ar"/>
              </w:rPr>
              <w:t>min</w:t>
            </w:r>
            <w:r>
              <w:rPr>
                <w:rFonts w:hint="eastAsia" w:ascii="宋体" w:hAnsi="宋体" w:eastAsia="宋体" w:cs="宋体"/>
                <w:color w:val="auto"/>
                <w:kern w:val="0"/>
                <w:szCs w:val="21"/>
                <w:lang w:eastAsia="zh-CN" w:bidi="ar"/>
              </w:rPr>
              <w:t>（</w:t>
            </w:r>
            <w:r>
              <w:rPr>
                <w:rFonts w:hint="eastAsia" w:ascii="宋体" w:hAnsi="宋体" w:eastAsia="宋体" w:cs="宋体"/>
                <w:color w:val="auto"/>
                <w:kern w:val="0"/>
                <w:szCs w:val="21"/>
                <w:lang w:val="en-US" w:eastAsia="zh-CN" w:bidi="ar"/>
              </w:rPr>
              <w:t>4min为夏季时间</w:t>
            </w:r>
            <w:r>
              <w:rPr>
                <w:rFonts w:hint="eastAsia" w:ascii="宋体" w:hAnsi="宋体" w:eastAsia="宋体" w:cs="宋体"/>
                <w:color w:val="auto"/>
                <w:kern w:val="0"/>
                <w:szCs w:val="21"/>
                <w:lang w:eastAsia="zh-CN" w:bidi="ar"/>
              </w:rPr>
              <w:t>）</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分流/不分流毛细管进样口</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URS-07</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压力、流量和分流比可通过先进的流量控制系统进行数字化设定</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URS-08</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配备全自动电子流量控制系统，具备室温补偿和自动环境补偿功能</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52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URS-9</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333333"/>
                <w:szCs w:val="21"/>
                <w:lang w:val="en-US" w:eastAsia="zh-CN"/>
              </w:rPr>
            </w:pPr>
            <w:r>
              <w:rPr>
                <w:rFonts w:hint="eastAsia" w:ascii="宋体" w:hAnsi="宋体" w:eastAsia="宋体" w:cs="宋体"/>
                <w:color w:val="333333"/>
                <w:kern w:val="0"/>
                <w:szCs w:val="21"/>
                <w:lang w:bidi="ar"/>
              </w:rPr>
              <w:t>支持恒流，恒压，程序增加流速，程序升压及压力脉冲等操作模式</w:t>
            </w:r>
            <w:r>
              <w:rPr>
                <w:rFonts w:hint="eastAsia" w:ascii="宋体" w:hAnsi="宋体" w:eastAsia="宋体" w:cs="宋体"/>
                <w:color w:val="333333"/>
                <w:kern w:val="0"/>
                <w:szCs w:val="21"/>
                <w:lang w:eastAsia="zh-CN" w:bidi="ar"/>
              </w:rPr>
              <w:t>；</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52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URS-10</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333333"/>
                <w:szCs w:val="21"/>
                <w:lang w:eastAsia="zh-CN"/>
              </w:rPr>
            </w:pPr>
            <w:r>
              <w:rPr>
                <w:rFonts w:hint="eastAsia" w:ascii="宋体" w:hAnsi="宋体" w:eastAsia="宋体" w:cs="宋体"/>
                <w:color w:val="auto"/>
                <w:kern w:val="0"/>
                <w:szCs w:val="21"/>
                <w:lang w:val="en-US" w:eastAsia="zh-CN" w:bidi="ar"/>
              </w:rPr>
              <w:t>徒手无需任何工具1秒内即可完成进样口的打开或关闭，仪器自动感知最佳气密位置，大幅简化维护操作。</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URS-11</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最高温度：450℃</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URS-12</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auto"/>
                <w:kern w:val="0"/>
                <w:szCs w:val="21"/>
                <w:lang w:bidi="ar"/>
              </w:rPr>
              <w:t>压力设定范围：0 ～ 150psi</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3</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流量设定范围：0 ～ 1250mL/min</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highlight w:val="cyan"/>
                <w:lang w:bidi="ar"/>
              </w:rPr>
              <w:t>自动进样器单元</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4</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样品位：不少于100位样品盘</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5</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进样量范围：0.1~50 uL，10μL 最低时样量为0.1μL；</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6</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保留时间重复性：&lt;0.001min</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34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7</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峰面积重复性：&lt;1% RSD</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b/>
                <w:bCs/>
                <w:color w:val="333333"/>
                <w:kern w:val="0"/>
                <w:szCs w:val="21"/>
                <w:highlight w:val="yellow"/>
                <w:lang w:bidi="ar"/>
              </w:rPr>
              <w:t>质谱部分</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highlight w:val="cyan"/>
              </w:rPr>
              <w:t>基本部分</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URS-1</w:t>
            </w:r>
            <w:r>
              <w:rPr>
                <w:rFonts w:hint="eastAsia" w:ascii="宋体" w:hAnsi="宋体" w:eastAsia="宋体" w:cs="宋体"/>
                <w:color w:val="333333"/>
                <w:kern w:val="0"/>
                <w:szCs w:val="21"/>
                <w:lang w:val="en-US" w:eastAsia="zh-CN" w:bidi="ar"/>
              </w:rPr>
              <w:t>8</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kern w:val="0"/>
                <w:szCs w:val="21"/>
                <w:lang w:bidi="ar"/>
              </w:rPr>
              <w:t>涡轮分子泵抽力＞300L/s。须提供涡轮分子泵抽力的证明图片</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szCs w:val="21"/>
                <w:lang w:val="en-US" w:eastAsia="zh-CN"/>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19</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ascii="宋体" w:hAnsi="宋体"/>
                <w:sz w:val="22"/>
                <w:szCs w:val="21"/>
              </w:rPr>
              <w:t>须提供在售全新仪器，不得为停产型号或翻新机。</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质量数范围:</w:t>
            </w:r>
            <w:r>
              <w:rPr>
                <w:rFonts w:ascii="宋体" w:hAnsi="宋体"/>
                <w:bCs/>
                <w:sz w:val="22"/>
                <w:szCs w:val="21"/>
              </w:rPr>
              <w:t xml:space="preserve"> 10 </w:t>
            </w:r>
            <w:r>
              <w:rPr>
                <w:rFonts w:ascii="宋体" w:hAnsi="宋体"/>
                <w:sz w:val="22"/>
                <w:szCs w:val="21"/>
              </w:rPr>
              <w:t xml:space="preserve">～ </w:t>
            </w:r>
            <w:r>
              <w:rPr>
                <w:rFonts w:ascii="宋体" w:hAnsi="宋体"/>
                <w:bCs/>
                <w:sz w:val="22"/>
                <w:szCs w:val="21"/>
              </w:rPr>
              <w:t>10</w:t>
            </w:r>
            <w:r>
              <w:rPr>
                <w:rFonts w:hint="eastAsia" w:ascii="宋体" w:hAnsi="宋体"/>
                <w:bCs/>
                <w:sz w:val="22"/>
                <w:szCs w:val="21"/>
              </w:rPr>
              <w:t>0</w:t>
            </w:r>
            <w:r>
              <w:rPr>
                <w:rFonts w:ascii="宋体" w:hAnsi="宋体"/>
                <w:bCs/>
                <w:sz w:val="22"/>
                <w:szCs w:val="21"/>
              </w:rPr>
              <w:t>0 u</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eastAsia="宋体" w:cs="宋体"/>
                <w:color w:val="auto"/>
                <w:kern w:val="0"/>
                <w:szCs w:val="21"/>
                <w:lang w:bidi="ar"/>
              </w:rPr>
              <w:t>URS-2</w:t>
            </w:r>
            <w:r>
              <w:rPr>
                <w:rFonts w:hint="eastAsia" w:ascii="宋体" w:hAnsi="宋体" w:eastAsia="宋体" w:cs="宋体"/>
                <w:color w:val="auto"/>
                <w:kern w:val="0"/>
                <w:szCs w:val="21"/>
                <w:lang w:val="en-US" w:eastAsia="zh-CN" w:bidi="ar"/>
              </w:rPr>
              <w:t>0</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bCs/>
                <w:color w:val="auto"/>
                <w:sz w:val="22"/>
                <w:szCs w:val="21"/>
              </w:rPr>
            </w:pPr>
            <w:r>
              <w:rPr>
                <w:rFonts w:ascii="宋体" w:hAnsi="宋体"/>
                <w:bCs/>
                <w:color w:val="auto"/>
                <w:sz w:val="22"/>
                <w:szCs w:val="21"/>
              </w:rPr>
              <w:t>灵敏度:</w:t>
            </w:r>
          </w:p>
          <w:p>
            <w:pPr>
              <w:rPr>
                <w:rFonts w:ascii="宋体" w:hAnsi="宋体"/>
                <w:vanish/>
                <w:color w:val="auto"/>
                <w:sz w:val="22"/>
                <w:szCs w:val="21"/>
                <w:lang w:val="pt-BR"/>
              </w:rPr>
            </w:pPr>
          </w:p>
          <w:p>
            <w:pPr>
              <w:rPr>
                <w:rFonts w:ascii="宋体" w:hAnsi="宋体"/>
                <w:vanish/>
                <w:color w:val="auto"/>
                <w:sz w:val="22"/>
                <w:szCs w:val="21"/>
                <w:lang w:val="pt-BR"/>
              </w:rPr>
            </w:pPr>
          </w:p>
          <w:p>
            <w:pPr>
              <w:rPr>
                <w:rFonts w:ascii="宋体" w:hAnsi="宋体"/>
                <w:vanish/>
                <w:color w:val="auto"/>
                <w:sz w:val="22"/>
                <w:szCs w:val="21"/>
                <w:lang w:val="pt-BR"/>
              </w:rPr>
            </w:pPr>
          </w:p>
          <w:p>
            <w:pPr>
              <w:rPr>
                <w:rFonts w:ascii="宋体" w:hAnsi="宋体"/>
                <w:vanish/>
                <w:color w:val="auto"/>
                <w:sz w:val="22"/>
                <w:szCs w:val="21"/>
                <w:lang w:val="pt-BR"/>
              </w:rPr>
            </w:pPr>
          </w:p>
          <w:p>
            <w:pPr>
              <w:rPr>
                <w:rFonts w:ascii="宋体" w:hAnsi="宋体"/>
                <w:vanish/>
                <w:color w:val="auto"/>
                <w:sz w:val="22"/>
                <w:szCs w:val="21"/>
                <w:lang w:val="pt-BR"/>
              </w:rPr>
            </w:pPr>
          </w:p>
          <w:p>
            <w:pPr>
              <w:rPr>
                <w:rFonts w:ascii="宋体" w:hAnsi="宋体"/>
                <w:vanish/>
                <w:color w:val="auto"/>
                <w:sz w:val="22"/>
                <w:szCs w:val="21"/>
                <w:lang w:val="pt-BR"/>
              </w:rPr>
            </w:pPr>
          </w:p>
          <w:p>
            <w:pPr>
              <w:rPr>
                <w:rFonts w:ascii="宋体" w:hAnsi="宋体"/>
                <w:color w:val="auto"/>
                <w:sz w:val="22"/>
                <w:szCs w:val="21"/>
              </w:rPr>
            </w:pPr>
            <w:r>
              <w:rPr>
                <w:rFonts w:ascii="宋体" w:hAnsi="宋体"/>
                <w:color w:val="auto"/>
                <w:sz w:val="22"/>
                <w:szCs w:val="21"/>
                <w:lang w:val="pt-BR"/>
              </w:rPr>
              <w:t>EI MRM : 100fg   OFN, S/N ≥</w:t>
            </w:r>
            <w:r>
              <w:rPr>
                <w:rFonts w:hint="eastAsia" w:ascii="宋体" w:hAnsi="宋体"/>
                <w:color w:val="auto"/>
                <w:sz w:val="22"/>
                <w:szCs w:val="21"/>
              </w:rPr>
              <w:t>1700</w:t>
            </w:r>
          </w:p>
          <w:p>
            <w:pPr>
              <w:rPr>
                <w:rFonts w:ascii="宋体" w:hAnsi="宋体" w:cs="宋体"/>
                <w:color w:val="auto"/>
                <w:szCs w:val="21"/>
              </w:rPr>
            </w:pPr>
            <w:r>
              <w:rPr>
                <w:rFonts w:ascii="宋体" w:hAnsi="宋体"/>
                <w:color w:val="auto"/>
                <w:sz w:val="22"/>
                <w:szCs w:val="21"/>
                <w:lang w:val="pt-BR"/>
              </w:rPr>
              <w:t>EI Scan : 1pg   OFN, S/N ≥</w:t>
            </w:r>
            <w:r>
              <w:rPr>
                <w:rFonts w:hint="eastAsia" w:ascii="宋体" w:hAnsi="宋体"/>
                <w:color w:val="auto"/>
                <w:sz w:val="22"/>
                <w:szCs w:val="21"/>
              </w:rPr>
              <w:t>1000</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1</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lang w:val="pt-BR"/>
              </w:rPr>
              <w:t>分辨率：0.</w:t>
            </w:r>
            <w:r>
              <w:rPr>
                <w:rFonts w:hint="eastAsia" w:ascii="宋体" w:hAnsi="宋体"/>
                <w:sz w:val="22"/>
                <w:szCs w:val="21"/>
              </w:rPr>
              <w:t>5</w:t>
            </w:r>
            <w:r>
              <w:rPr>
                <w:rFonts w:ascii="宋体" w:hAnsi="宋体"/>
                <w:sz w:val="22"/>
                <w:szCs w:val="21"/>
                <w:lang w:val="pt-BR"/>
              </w:rPr>
              <w:t xml:space="preserve"> ～ 3.0u，可调</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2</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cs="宋体" w:eastAsiaTheme="minorEastAsia"/>
                <w:color w:val="333333"/>
                <w:szCs w:val="21"/>
                <w:lang w:eastAsia="zh-CN"/>
              </w:rPr>
            </w:pPr>
            <w:r>
              <w:rPr>
                <w:rFonts w:ascii="宋体" w:hAnsi="宋体"/>
                <w:sz w:val="22"/>
                <w:szCs w:val="21"/>
                <w:lang w:val="pt-BR"/>
              </w:rPr>
              <w:t>质量</w:t>
            </w:r>
            <w:r>
              <w:rPr>
                <w:rFonts w:hint="eastAsia" w:ascii="宋体" w:hAnsi="宋体"/>
                <w:sz w:val="22"/>
                <w:szCs w:val="21"/>
                <w:lang w:val="pt-BR" w:eastAsia="zh-CN"/>
              </w:rPr>
              <w:t>轴</w:t>
            </w:r>
            <w:r>
              <w:rPr>
                <w:rFonts w:ascii="宋体" w:hAnsi="宋体"/>
                <w:sz w:val="22"/>
                <w:szCs w:val="21"/>
                <w:lang w:val="pt-BR"/>
              </w:rPr>
              <w:t>稳定性：±0.1u/48h</w:t>
            </w:r>
            <w:r>
              <w:rPr>
                <w:rFonts w:hint="eastAsia" w:ascii="宋体" w:hAnsi="宋体"/>
                <w:sz w:val="22"/>
                <w:szCs w:val="21"/>
                <w:lang w:val="pt-BR" w:eastAsia="zh-CN"/>
              </w:rPr>
              <w:t>，</w:t>
            </w:r>
            <w:r>
              <w:rPr>
                <w:rFonts w:hint="eastAsia" w:ascii="宋体" w:hAnsi="宋体"/>
                <w:color w:val="00B0F0"/>
                <w:sz w:val="22"/>
                <w:szCs w:val="21"/>
                <w:lang w:val="en-US" w:eastAsia="zh-CN"/>
              </w:rPr>
              <w:t>作为验收指标之一</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3</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lang w:val="pt-BR"/>
              </w:rPr>
              <w:t>最大扫描速度：大于等于</w:t>
            </w:r>
            <w:r>
              <w:rPr>
                <w:rFonts w:hint="eastAsia" w:ascii="宋体" w:hAnsi="宋体"/>
                <w:sz w:val="22"/>
                <w:szCs w:val="21"/>
                <w:lang w:val="pt-BR"/>
              </w:rPr>
              <w:t>1</w:t>
            </w:r>
            <w:r>
              <w:rPr>
                <w:rFonts w:ascii="宋体" w:hAnsi="宋体"/>
                <w:sz w:val="22"/>
                <w:szCs w:val="21"/>
                <w:lang w:val="pt-BR"/>
              </w:rPr>
              <w:t>8,000 u/sec</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4</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ascii="宋体" w:hAnsi="宋体"/>
                <w:sz w:val="22"/>
                <w:szCs w:val="21"/>
                <w:lang w:val="pt-BR"/>
              </w:rPr>
              <w:t>最小驻留时间(Dwell Time)：</w:t>
            </w:r>
            <w:r>
              <w:rPr>
                <w:rFonts w:hint="eastAsia" w:ascii="宋体" w:hAnsi="宋体"/>
                <w:sz w:val="22"/>
                <w:szCs w:val="21"/>
              </w:rPr>
              <w:t>0.5</w:t>
            </w:r>
            <w:r>
              <w:rPr>
                <w:rFonts w:ascii="宋体" w:hAnsi="宋体"/>
                <w:sz w:val="22"/>
                <w:szCs w:val="21"/>
                <w:lang w:val="pt-BR"/>
              </w:rPr>
              <w:t>ms</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highlight w:val="cyan"/>
              </w:rPr>
              <w:t>离子源</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5</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cs="宋体" w:eastAsiaTheme="minorEastAsia"/>
                <w:color w:val="333333"/>
                <w:szCs w:val="21"/>
                <w:lang w:eastAsia="zh-CN"/>
              </w:rPr>
            </w:pPr>
            <w:r>
              <w:rPr>
                <w:rFonts w:ascii="宋体" w:hAnsi="宋体"/>
                <w:sz w:val="22"/>
                <w:szCs w:val="21"/>
              </w:rPr>
              <w:t>离子化能量：10 ～</w:t>
            </w:r>
            <w:r>
              <w:rPr>
                <w:rFonts w:ascii="宋体" w:hAnsi="宋体"/>
                <w:color w:val="auto"/>
                <w:sz w:val="22"/>
                <w:szCs w:val="21"/>
              </w:rPr>
              <w:t xml:space="preserve"> 150eV连续可调</w:t>
            </w:r>
            <w:r>
              <w:rPr>
                <w:rFonts w:hint="eastAsia" w:ascii="宋体" w:hAnsi="宋体"/>
                <w:color w:val="auto"/>
                <w:sz w:val="22"/>
                <w:szCs w:val="21"/>
              </w:rPr>
              <w:t xml:space="preserve"> </w:t>
            </w:r>
            <w:r>
              <w:rPr>
                <w:rFonts w:hint="eastAsia" w:ascii="宋体" w:hAnsi="宋体" w:eastAsia="宋体" w:cs="宋体"/>
                <w:color w:val="auto"/>
                <w:kern w:val="0"/>
                <w:szCs w:val="21"/>
                <w:lang w:val="en-US" w:eastAsia="zh-CN" w:bidi="ar"/>
              </w:rPr>
              <w:t>或更宽</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6</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离子源温度：独立控温，150 ～ 340</w:t>
            </w:r>
            <w:r>
              <w:rPr>
                <w:rFonts w:hint="eastAsia" w:ascii="宋体" w:hAnsi="宋体"/>
                <w:sz w:val="22"/>
                <w:szCs w:val="21"/>
              </w:rPr>
              <w:t>℃</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7</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灯丝电流：5 ～ 300μA（发射电流）</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URS-2</w:t>
            </w:r>
            <w:r>
              <w:rPr>
                <w:rFonts w:hint="eastAsia" w:ascii="宋体" w:hAnsi="宋体" w:eastAsia="宋体" w:cs="宋体"/>
                <w:color w:val="333333"/>
                <w:kern w:val="0"/>
                <w:szCs w:val="21"/>
                <w:lang w:val="en-US" w:eastAsia="zh-CN" w:bidi="ar"/>
              </w:rPr>
              <w:t>8</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GCMS 接口温度：50 ～ 3</w:t>
            </w:r>
            <w:r>
              <w:rPr>
                <w:rFonts w:hint="eastAsia" w:ascii="宋体" w:hAnsi="宋体"/>
                <w:sz w:val="22"/>
                <w:szCs w:val="21"/>
              </w:rPr>
              <w:t>00</w:t>
            </w:r>
            <w:r>
              <w:rPr>
                <w:rFonts w:hint="eastAsia" w:ascii="宋体" w:hAnsi="宋体"/>
                <w:color w:val="auto"/>
                <w:sz w:val="22"/>
                <w:szCs w:val="21"/>
              </w:rPr>
              <w:t>℃</w:t>
            </w:r>
            <w:r>
              <w:rPr>
                <w:rFonts w:hint="eastAsia" w:ascii="宋体" w:hAnsi="宋体" w:eastAsia="宋体" w:cs="宋体"/>
                <w:color w:val="auto"/>
                <w:kern w:val="0"/>
                <w:szCs w:val="21"/>
                <w:lang w:val="en-US" w:eastAsia="zh-CN" w:bidi="ar"/>
              </w:rPr>
              <w:t>或更宽</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szCs w:val="21"/>
                <w:lang w:val="en-US" w:eastAsia="zh-CN"/>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29</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维护离子源和灯丝时无需暴露四极杆，杜绝因此造成的四极杆损伤风险。</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highlight w:val="cyan"/>
              </w:rPr>
              <w:t>质量分析器</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0</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cs="宋体" w:eastAsiaTheme="minorEastAsia"/>
                <w:dstrike/>
                <w:color w:val="333333"/>
                <w:szCs w:val="21"/>
                <w:lang w:eastAsia="zh-CN"/>
              </w:rPr>
            </w:pPr>
            <w:r>
              <w:rPr>
                <w:rFonts w:hint="eastAsia" w:ascii="宋体" w:hAnsi="宋体"/>
                <w:color w:val="00B0F0"/>
                <w:sz w:val="22"/>
                <w:szCs w:val="21"/>
                <w:lang w:val="en-US" w:eastAsia="zh-CN"/>
              </w:rPr>
              <w:t>配备有预四级杆或四级杆带加热功能</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1</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rFonts w:ascii="宋体" w:hAnsi="宋体"/>
                <w:sz w:val="22"/>
                <w:szCs w:val="21"/>
              </w:rPr>
              <w:t xml:space="preserve">四极杆具有自动优化加速功能，保证在高速扫描时保证数据灵敏度和质谱图正确性。 </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3</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cs="宋体" w:eastAsiaTheme="minorEastAsia"/>
                <w:dstrike/>
                <w:color w:val="333333"/>
                <w:szCs w:val="21"/>
                <w:lang w:eastAsia="zh-CN"/>
              </w:rPr>
            </w:pPr>
            <w:r>
              <w:rPr>
                <w:rFonts w:hint="eastAsia" w:ascii="宋体" w:hAnsi="宋体"/>
                <w:color w:val="00B0F0"/>
                <w:sz w:val="22"/>
                <w:szCs w:val="21"/>
                <w:lang w:val="en-US" w:eastAsia="zh-CN"/>
              </w:rPr>
              <w:t>碰撞池采用氩气或氮气作为碰撞气</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szCs w:val="21"/>
                <w:lang w:val="en-US" w:eastAsia="zh-CN"/>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34</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cs="宋体" w:eastAsiaTheme="minorEastAsia"/>
                <w:dstrike/>
                <w:color w:val="333333"/>
                <w:szCs w:val="21"/>
                <w:lang w:eastAsia="zh-CN"/>
              </w:rPr>
            </w:pPr>
            <w:r>
              <w:rPr>
                <w:rFonts w:ascii="宋体" w:hAnsi="宋体"/>
                <w:sz w:val="22"/>
                <w:szCs w:val="21"/>
              </w:rPr>
              <w:t>Q3离轴设计，降低中性分子引起的背景噪声。</w:t>
            </w:r>
            <w:r>
              <w:rPr>
                <w:rFonts w:hint="eastAsia" w:ascii="宋体" w:hAnsi="宋体"/>
                <w:sz w:val="22"/>
                <w:szCs w:val="21"/>
                <w:lang w:eastAsia="zh-CN"/>
              </w:rPr>
              <w:t>（</w:t>
            </w:r>
            <w:r>
              <w:rPr>
                <w:rFonts w:hint="eastAsia" w:ascii="宋体" w:hAnsi="宋体"/>
                <w:sz w:val="22"/>
                <w:szCs w:val="21"/>
                <w:lang w:val="en-US" w:eastAsia="zh-CN"/>
              </w:rPr>
              <w:t>本参数Q3描述不准确，建议修改：三重离轴设计，降低中性分子引起的背景噪音。</w:t>
            </w:r>
            <w:r>
              <w:rPr>
                <w:rFonts w:hint="eastAsia" w:ascii="宋体" w:hAnsi="宋体"/>
                <w:sz w:val="22"/>
                <w:szCs w:val="21"/>
                <w:lang w:eastAsia="zh-CN"/>
              </w:rPr>
              <w:t>）</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5</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dstrike/>
                <w:color w:val="333333"/>
                <w:szCs w:val="21"/>
              </w:rPr>
            </w:pPr>
            <w:r>
              <w:rPr>
                <w:rFonts w:ascii="宋体" w:hAnsi="宋体"/>
                <w:sz w:val="22"/>
                <w:szCs w:val="21"/>
              </w:rPr>
              <w:t>扫描速率：≥6000u/sec；</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6</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cs="宋体"/>
                <w:color w:val="333333"/>
                <w:szCs w:val="21"/>
              </w:rPr>
            </w:pPr>
            <w:r>
              <w:rPr>
                <w:rFonts w:hint="eastAsia" w:ascii="宋体" w:hAnsi="宋体"/>
                <w:sz w:val="22"/>
                <w:szCs w:val="21"/>
              </w:rPr>
              <w:t>扫描功能：</w:t>
            </w:r>
            <w:r>
              <w:rPr>
                <w:rFonts w:ascii="宋体" w:hAnsi="宋体"/>
                <w:sz w:val="22"/>
                <w:szCs w:val="21"/>
              </w:rPr>
              <w:t>全扫描(Full Scan)、子离子扫描( Product Ion Scan)、母离子扫描(Precursor Ion Scan)、中性丢失扫描(Neutral Loss Scan)、选择离子扫描模式(SIM)、多反应扫描模式（MRM）</w:t>
            </w:r>
            <w:r>
              <w:rPr>
                <w:rFonts w:hint="eastAsia" w:ascii="宋体" w:hAnsi="宋体"/>
                <w:sz w:val="22"/>
                <w:szCs w:val="21"/>
              </w:rPr>
              <w:t>，以任意多种采集组合进行同时扫描。</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highlight w:val="cyan"/>
              </w:rPr>
              <w:t>数据处理系统</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URS-3</w:t>
            </w:r>
            <w:r>
              <w:rPr>
                <w:rFonts w:hint="eastAsia" w:ascii="宋体" w:hAnsi="宋体" w:eastAsia="宋体" w:cs="宋体"/>
                <w:color w:val="333333"/>
                <w:kern w:val="0"/>
                <w:szCs w:val="21"/>
                <w:lang w:val="en-US" w:eastAsia="zh-CN" w:bidi="ar"/>
              </w:rPr>
              <w:t>7</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rPr>
              <w:t>中文工作站，可进行数据采集、数据处理、定性分析和定量分析。</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szCs w:val="21"/>
                <w:lang w:val="en-US" w:eastAsia="zh-CN"/>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38</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szCs w:val="21"/>
              </w:rPr>
            </w:pPr>
            <w:r>
              <w:rPr>
                <w:szCs w:val="21"/>
              </w:rPr>
              <w:t>手动/自动调谐, 数据采集, 数据检索, 分析结果报告, 定量分析及谱库检索功能</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szCs w:val="21"/>
                <w:lang w:val="en-US" w:eastAsia="zh-CN"/>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39</w:t>
            </w:r>
          </w:p>
        </w:tc>
        <w:tc>
          <w:tcPr>
            <w:tcW w:w="313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333333"/>
                <w:szCs w:val="21"/>
              </w:rPr>
            </w:pPr>
            <w:r>
              <w:rPr>
                <w:szCs w:val="21"/>
              </w:rPr>
              <w:t>数据分析软件应包括常规数据和符合EPA要求的专用环境数据处理等多种分析模式。两种模式通过软件配置互相转换,均能独立工作</w:t>
            </w:r>
          </w:p>
        </w:tc>
        <w:tc>
          <w:tcPr>
            <w:tcW w:w="42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525" w:hRule="atLeast"/>
        </w:trPr>
        <w:tc>
          <w:tcPr>
            <w:tcW w:w="554" w:type="pct"/>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0</w:t>
            </w:r>
          </w:p>
        </w:tc>
        <w:tc>
          <w:tcPr>
            <w:tcW w:w="3139"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rPr>
              <w:t>数据库：包含</w:t>
            </w:r>
            <w:r>
              <w:rPr>
                <w:rFonts w:hint="eastAsia" w:ascii="宋体" w:hAnsi="宋体" w:eastAsia="宋体" w:cs="宋体"/>
                <w:color w:val="333333"/>
                <w:szCs w:val="21"/>
                <w:u w:val="single"/>
                <w:lang w:val="en-US" w:eastAsia="zh-CN"/>
              </w:rPr>
              <w:t xml:space="preserve">     </w:t>
            </w:r>
            <w:r>
              <w:rPr>
                <w:rFonts w:hint="eastAsia" w:ascii="宋体" w:hAnsi="宋体" w:eastAsia="宋体" w:cs="宋体"/>
                <w:color w:val="333333"/>
                <w:szCs w:val="21"/>
              </w:rPr>
              <w:t>种以上农药和环境污染物的MRM参数，每个化合物至少有7个MRM离子对数据（需要提供数据库的证明文件）</w:t>
            </w:r>
          </w:p>
        </w:tc>
        <w:tc>
          <w:tcPr>
            <w:tcW w:w="423"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85"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1</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rPr>
              <w:t xml:space="preserve">软件具有审计追踪和权限管理功能 </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499"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szCs w:val="21"/>
                <w:lang w:eastAsia="zh-CN"/>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2</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rFonts w:hint="eastAsia" w:ascii="宋体" w:hAnsi="宋体" w:eastAsia="宋体" w:cs="宋体"/>
                <w:color w:val="333333"/>
                <w:szCs w:val="21"/>
              </w:rPr>
              <w:t>工作站采用一体化数据结果，数据文件中可调出仪器方法、定量方法。报告格式，批处理理，调谐文件等相应信息</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szCs w:val="21"/>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210"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rPr>
                <w:highlight w:val="cyan"/>
              </w:rPr>
              <w:t>培训及售后支持</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3</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供货商需在现场进行系统理论知识、仪器硬件操作、仪器维护保养以及基本故障诊断、排除等技术培训，确保使用人员能够独立操作，培训时间不得少于</w:t>
            </w:r>
            <w:r>
              <w:rPr>
                <w:rFonts w:hint="eastAsia"/>
              </w:rPr>
              <w:t>5</w:t>
            </w:r>
            <w:r>
              <w:t>天</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4</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color w:val="333333"/>
                <w:sz w:val="21"/>
                <w:szCs w:val="21"/>
              </w:rPr>
            </w:pPr>
            <w:r>
              <w:rPr>
                <w:rFonts w:hint="default" w:asciiTheme="minorHAnsi" w:hAnsiTheme="minorHAnsi" w:eastAsiaTheme="minorEastAsia" w:cstheme="minorBidi"/>
                <w:kern w:val="2"/>
                <w:sz w:val="21"/>
              </w:rPr>
              <w:t>供货商负责日后为仪器易损配件提供供应支持，并对本仪器相关问题进行免费技术支持。</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5</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供货商需为各测试系统提供</w:t>
            </w:r>
            <w:r>
              <w:rPr>
                <w:rFonts w:hint="eastAsia"/>
                <w:lang w:val="en-US" w:eastAsia="zh-CN"/>
              </w:rPr>
              <w:t>3</w:t>
            </w:r>
            <w:r>
              <w:t>年包修、终身保修的售后服务。</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6</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供货商应确保所购各项仪器设备可长期供应的配（备）件、维修材料及消耗品，并可通过相关办事机构直接订货。</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URS-4</w:t>
            </w:r>
            <w:r>
              <w:rPr>
                <w:rFonts w:hint="eastAsia" w:ascii="宋体" w:hAnsi="宋体" w:eastAsia="宋体" w:cs="宋体"/>
                <w:color w:val="333333"/>
                <w:kern w:val="0"/>
                <w:szCs w:val="21"/>
                <w:lang w:val="en-US" w:eastAsia="zh-CN" w:bidi="ar"/>
              </w:rPr>
              <w:t>7</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333333"/>
                <w:szCs w:val="21"/>
              </w:rPr>
            </w:pPr>
            <w:r>
              <w:t>供货商应随货物提供本设备原配的专用工具</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产品的可靠性及安全性</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48</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产品设计和制造通过质量体系认证。符合国际法规规定的安全和电磁相容性的要求。实际的测试条件远比说明书要求的严格</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color w:val="333333"/>
                <w:sz w:val="21"/>
                <w:szCs w:val="21"/>
              </w:rPr>
            </w:pPr>
            <w:r>
              <w:rPr>
                <w:highlight w:val="cyan"/>
              </w:rPr>
              <w:t>产品供货周期、质量保证和售后服务</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49</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供货周期为</w:t>
            </w:r>
            <w:r>
              <w:rPr>
                <w:rFonts w:hint="eastAsia"/>
              </w:rPr>
              <w:t xml:space="preserve"> </w:t>
            </w:r>
            <w:r>
              <w:rPr>
                <w:rFonts w:hint="eastAsia"/>
                <w:lang w:val="en-US" w:eastAsia="zh-CN"/>
              </w:rPr>
              <w:t>50</w:t>
            </w:r>
            <w:r>
              <w:t>个</w:t>
            </w:r>
            <w:r>
              <w:rPr>
                <w:rFonts w:hint="eastAsia"/>
                <w:lang w:eastAsia="zh-CN"/>
              </w:rPr>
              <w:t>日历</w:t>
            </w:r>
            <w:bookmarkStart w:id="0" w:name="_GoBack"/>
            <w:bookmarkEnd w:id="0"/>
            <w:r>
              <w:t>日</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50</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color w:val="333333"/>
                <w:sz w:val="21"/>
                <w:szCs w:val="21"/>
              </w:rPr>
            </w:pPr>
            <w:r>
              <w:t>仪器保修期为自安装验收合格之日起免费保修</w:t>
            </w:r>
            <w:r>
              <w:rPr>
                <w:rFonts w:hint="eastAsia"/>
                <w:lang w:val="en-US" w:eastAsia="zh-CN"/>
              </w:rPr>
              <w:t>3</w:t>
            </w:r>
            <w:r>
              <w:t>年。在保质期内出现质量问题由乙方负责免费更换。</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1</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卖方将按要求免费派出专家指导安装，具体安排由双方协商，并对最终用户操作人员提供操作和维护培训。</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2</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333333"/>
                <w:szCs w:val="21"/>
              </w:rPr>
            </w:pPr>
            <w:r>
              <w:t>无论在保修期内还是在保修期外，卖方在收到用户的维修要求后8小时作出回应，并在48小时内到达买方现场进行维修。以上要求适用于国家法定工作日。</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3</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333333"/>
                <w:szCs w:val="21"/>
              </w:rPr>
            </w:pPr>
            <w:r>
              <w:t>设备质保期后卖方能对设备提供终身优惠的技术支持。卖方的技术维修人员，1年至少回访用户2次（期限10年，形式可采取现场、电话等</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4</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333333"/>
                <w:szCs w:val="21"/>
              </w:rPr>
            </w:pPr>
            <w:r>
              <w:t>卖方承诺10年内对买方提供优惠的备品配件价格</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5</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卖方免费提供软件升级</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rPr>
                <w:highlight w:val="cyan"/>
              </w:rPr>
              <w:t>资料交付</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6</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供货商需提供承压元件、压力传感器、压力变送器、流量计等计量单元的产品合格证以及检定、校正报告等相关技术资料。</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URS-5</w:t>
            </w:r>
            <w:r>
              <w:rPr>
                <w:rFonts w:hint="eastAsia" w:ascii="宋体" w:hAnsi="宋体" w:eastAsia="宋体" w:cs="宋体"/>
                <w:color w:val="333333"/>
                <w:kern w:val="0"/>
                <w:szCs w:val="21"/>
                <w:lang w:val="en-US" w:eastAsia="zh-CN" w:bidi="ar"/>
              </w:rPr>
              <w:t>7</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专用软件（包括软件说明）以光盘形式提供，并免费提供升级。</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58</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供货商应随货物提供仪器设备的全套资料提供的资料应包括使用手册、电气线路图、接线图、流程图、维修手册、货物清单等。</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59</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所以进口元件需提供安装、操作维护、故障诊断等说明书（包括原文、中文）</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rPr>
                <w:highlight w:val="cyan"/>
              </w:rPr>
              <w:t>验收</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开箱和检查</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60</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在货到时，检查包装箱在运输的过程中是否有损坏。</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1</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清点货物数量，根据合同清点备件数量。</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设备安装</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2</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设备就位，安装各主要部件，连接他们中间的管线。</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3</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连接氮气，压缩空气，冷却循环水及放空等外部管线</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4</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联接电源电缆;安装计算机，连接通讯电缆线。</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设备调试</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5</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根据设备系统的构成，分别调试各个子系统，机械部分要求运转灵活，控制准确；仪表部分数值显示稳定正确，测量到达所要求的精度，电子及软件部分通讯正常，到达所要求的控制和数据采集功能。各个子系统调试完成后进行系统的联合运转试验。</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设备检验</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6</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功能检验：根据上述设备调试步骤，检验各个子系统的工作状况</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URS-6</w:t>
            </w:r>
            <w:r>
              <w:rPr>
                <w:rFonts w:hint="eastAsia" w:ascii="宋体" w:hAnsi="宋体" w:eastAsia="宋体" w:cs="宋体"/>
                <w:color w:val="333333"/>
                <w:kern w:val="0"/>
                <w:szCs w:val="21"/>
                <w:lang w:val="en-US" w:eastAsia="zh-CN" w:bidi="ar"/>
              </w:rPr>
              <w:t>7</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升温和加压试验：用水作为介质，进行加温和加压试验，检查是否有泄漏。</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68</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系统试验：确保系统满足合同要求的技术指标</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操作培训</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w:t>
            </w:r>
            <w:r>
              <w:rPr>
                <w:rFonts w:hint="eastAsia" w:ascii="宋体" w:hAnsi="宋体" w:eastAsia="宋体" w:cs="宋体"/>
                <w:color w:val="333333"/>
                <w:kern w:val="0"/>
                <w:szCs w:val="21"/>
                <w:lang w:val="en-US" w:eastAsia="zh-CN" w:bidi="ar"/>
              </w:rPr>
              <w:t>69</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用</w:t>
            </w:r>
            <w:r>
              <w:rPr>
                <w:rFonts w:hint="eastAsia"/>
                <w:u w:val="single"/>
              </w:rPr>
              <w:t xml:space="preserve">   </w:t>
            </w:r>
            <w:r>
              <w:t>作为介质，根据上述设备调试步骤，学习和熟悉各个子系统的操作</w:t>
            </w:r>
            <w:r>
              <w:rPr>
                <w:rFonts w:hint="eastAsia"/>
              </w:rPr>
              <w:t>。</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URS-7</w:t>
            </w:r>
            <w:r>
              <w:rPr>
                <w:rFonts w:hint="eastAsia" w:ascii="宋体" w:hAnsi="宋体" w:eastAsia="宋体" w:cs="宋体"/>
                <w:color w:val="333333"/>
                <w:kern w:val="0"/>
                <w:szCs w:val="21"/>
                <w:lang w:val="en-US" w:eastAsia="zh-CN" w:bidi="ar"/>
              </w:rPr>
              <w:t>0</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学习设备的日常维护保养。</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样品测试</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URS-7</w:t>
            </w:r>
            <w:r>
              <w:rPr>
                <w:rFonts w:hint="eastAsia" w:ascii="宋体" w:hAnsi="宋体" w:eastAsia="宋体" w:cs="宋体"/>
                <w:color w:val="333333"/>
                <w:kern w:val="0"/>
                <w:szCs w:val="21"/>
                <w:lang w:val="en-US" w:eastAsia="zh-CN" w:bidi="ar"/>
              </w:rPr>
              <w:t>1</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pPr>
            <w:r>
              <w:t>根据用户要求，由用户进行一个样品的短期试验，厂家工程师在旁指导。</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2"/>
              <w:widowControl/>
              <w:rPr>
                <w:rFonts w:hint="default"/>
              </w:rPr>
            </w:pPr>
            <w:r>
              <w:t>验收并签署验收报告</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r>
        <w:tblPrEx>
          <w:tblCellMar>
            <w:top w:w="0" w:type="dxa"/>
            <w:left w:w="0" w:type="dxa"/>
            <w:bottom w:w="0" w:type="dxa"/>
            <w:right w:w="0" w:type="dxa"/>
          </w:tblCellMar>
        </w:tblPrEx>
        <w:trPr>
          <w:trHeight w:val="137" w:hRule="atLeast"/>
        </w:trPr>
        <w:tc>
          <w:tcPr>
            <w:tcW w:w="55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333333"/>
                <w:kern w:val="0"/>
                <w:szCs w:val="21"/>
                <w:lang w:val="en-US" w:eastAsia="zh-CN" w:bidi="ar"/>
              </w:rPr>
            </w:pPr>
            <w:r>
              <w:rPr>
                <w:rFonts w:hint="eastAsia" w:ascii="宋体" w:hAnsi="宋体" w:eastAsia="宋体" w:cs="宋体"/>
                <w:color w:val="333333"/>
                <w:kern w:val="0"/>
                <w:szCs w:val="21"/>
                <w:lang w:bidi="ar"/>
              </w:rPr>
              <w:t>URS-7</w:t>
            </w:r>
            <w:r>
              <w:rPr>
                <w:rFonts w:hint="eastAsia" w:ascii="宋体" w:hAnsi="宋体" w:eastAsia="宋体" w:cs="宋体"/>
                <w:color w:val="333333"/>
                <w:kern w:val="0"/>
                <w:szCs w:val="21"/>
                <w:lang w:val="en-US" w:eastAsia="zh-CN" w:bidi="ar"/>
              </w:rPr>
              <w:t>2</w:t>
            </w:r>
          </w:p>
        </w:tc>
        <w:tc>
          <w:tcPr>
            <w:tcW w:w="31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r>
              <w:t>系统经调试和试验合格，用户经培训基本掌握操作后，由用户和供货商双方签定验收报告。有关技术方面未尽事宜，双方协商解决。</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333333"/>
                <w:kern w:val="0"/>
                <w:szCs w:val="21"/>
                <w:lang w:bidi="ar"/>
              </w:rPr>
            </w:pPr>
            <w:r>
              <w:rPr>
                <w:rFonts w:hint="eastAsia" w:ascii="宋体" w:hAnsi="宋体" w:eastAsia="宋体" w:cs="宋体"/>
                <w:color w:val="333333"/>
                <w:kern w:val="0"/>
                <w:szCs w:val="21"/>
                <w:lang w:bidi="ar"/>
              </w:rPr>
              <w:t>必需</w:t>
            </w:r>
          </w:p>
        </w:tc>
        <w:tc>
          <w:tcPr>
            <w:tcW w:w="88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333333"/>
                <w:szCs w:val="21"/>
              </w:rPr>
            </w:pPr>
          </w:p>
        </w:tc>
      </w:tr>
    </w:tbl>
    <w:p/>
    <w:p/>
    <w:p>
      <w:pPr>
        <w:pStyle w:val="2"/>
        <w:widowControl/>
        <w:rPr>
          <w:rFonts w:hint="default"/>
        </w:rPr>
      </w:pPr>
    </w:p>
    <w:p/>
    <w:p/>
    <w:p/>
    <w:p/>
    <w:p/>
    <w:sectPr>
      <w:pgSz w:w="11906" w:h="16838"/>
      <w:pgMar w:top="1213" w:right="1463" w:bottom="1270"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EF2016"/>
    <w:rsid w:val="003725ED"/>
    <w:rsid w:val="00785286"/>
    <w:rsid w:val="007A7FCD"/>
    <w:rsid w:val="08EF2016"/>
    <w:rsid w:val="222A1CB5"/>
    <w:rsid w:val="236D78B2"/>
    <w:rsid w:val="25020DDC"/>
    <w:rsid w:val="2A077855"/>
    <w:rsid w:val="30956AC8"/>
    <w:rsid w:val="4B3D5DE2"/>
    <w:rsid w:val="4CA17F2A"/>
    <w:rsid w:val="4E63744A"/>
    <w:rsid w:val="5341345F"/>
    <w:rsid w:val="69B35D32"/>
    <w:rsid w:val="723972E2"/>
    <w:rsid w:val="77335D77"/>
    <w:rsid w:val="7749793B"/>
    <w:rsid w:val="7CC53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574</Words>
  <Characters>3275</Characters>
  <Lines>27</Lines>
  <Paragraphs>7</Paragraphs>
  <TotalTime>6</TotalTime>
  <ScaleCrop>false</ScaleCrop>
  <LinksUpToDate>false</LinksUpToDate>
  <CharactersWithSpaces>3842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2020-07-14T07:21:00Z</dcterms:created>
  <dc:creator>xiaoxiaoxu</dc:creator>
  <cp:lastModifiedBy>Administrator</cp:lastModifiedBy>
  <dcterms:modified xsi:type="dcterms:W3CDTF">2020-07-17T02:07:06Z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